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EF1" w:rsidRPr="00AC4EF1" w:rsidRDefault="00AC4EF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Приложение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к Программе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профилактики рисков причинения вреда (ущерба) охраняемым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законом ценностям министерства культуры Саратовской области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при осуществлении регионального государственного контроля</w:t>
      </w:r>
    </w:p>
    <w:p w:rsidR="00AC4EF1" w:rsidRPr="00AC4EF1" w:rsidRDefault="00AC4EF1">
      <w:pPr>
        <w:pStyle w:val="ConsPlusNormal"/>
        <w:jc w:val="right"/>
        <w:rPr>
          <w:rFonts w:ascii="PT Astra Serif" w:hAnsi="PT Astra Serif"/>
        </w:rPr>
      </w:pPr>
      <w:r w:rsidRPr="00AC4EF1">
        <w:rPr>
          <w:rFonts w:ascii="PT Astra Serif" w:hAnsi="PT Astra Serif"/>
          <w:sz w:val="28"/>
          <w:szCs w:val="28"/>
        </w:rPr>
        <w:t>(надзора) в сфере туристской индустрии</w:t>
      </w:r>
    </w:p>
    <w:p w:rsidR="00AC4EF1" w:rsidRPr="00AC4EF1" w:rsidRDefault="00AC4EF1">
      <w:pPr>
        <w:pStyle w:val="ConsPlusNormal"/>
        <w:jc w:val="both"/>
        <w:rPr>
          <w:rFonts w:ascii="PT Astra Serif" w:hAnsi="PT Astra Serif"/>
        </w:rPr>
      </w:pP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169"/>
      <w:bookmarkEnd w:id="0"/>
      <w:r w:rsidRPr="00AC4EF1">
        <w:rPr>
          <w:rFonts w:ascii="PT Astra Serif" w:hAnsi="PT Astra Serif"/>
          <w:sz w:val="28"/>
          <w:szCs w:val="28"/>
        </w:rPr>
        <w:t>ПЛАН-ГРАФИК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ПРОФИЛАКТИЧЕСКИХ МЕРОПРИЯТИЙ, НАПРАВЛЕННЫХ НА ПРОФИЛАКТИКУ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РИСКОВ ПРИЧИНЕНИЯ ВРЕДА (УЩЕРБА) ОХРАНЯЕМЫМ ЗАКОНОМ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ЦЕННОСТЯМ МИНИСТЕРСТВА КУЛЬТУРЫ САРАТОВСКОЙ ОБЛАСТИ</w:t>
      </w:r>
    </w:p>
    <w:p w:rsidR="00AC4EF1" w:rsidRPr="00AC4EF1" w:rsidRDefault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ПРИ ОСУЩЕСТВЛЕНИИ РЕГИОНАЛЬНОГО ГОСУДАРСТВЕННОГО КОНТРОЛЯ</w:t>
      </w:r>
    </w:p>
    <w:p w:rsidR="00AC4EF1" w:rsidRPr="00AC4EF1" w:rsidRDefault="00AC4EF1" w:rsidP="00AC4EF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4EF1">
        <w:rPr>
          <w:rFonts w:ascii="PT Astra Serif" w:hAnsi="PT Astra Serif"/>
          <w:sz w:val="28"/>
          <w:szCs w:val="28"/>
        </w:rPr>
        <w:t>(НАДЗОРА) В СФЕРЕ ТУРИСТСКОЙ ИНДУСТРИИ</w:t>
      </w:r>
    </w:p>
    <w:p w:rsidR="00AC4EF1" w:rsidRDefault="00AC4EF1" w:rsidP="00AC4EF1">
      <w:pPr>
        <w:pStyle w:val="ConsPlusTitle"/>
        <w:jc w:val="center"/>
      </w:pPr>
    </w:p>
    <w:tbl>
      <w:tblPr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835"/>
        <w:gridCol w:w="3969"/>
        <w:gridCol w:w="2098"/>
        <w:gridCol w:w="2835"/>
      </w:tblGrid>
      <w:tr w:rsidR="00AC4EF1" w:rsidRPr="00AC4EF1" w:rsidTr="00BA000A">
        <w:tc>
          <w:tcPr>
            <w:tcW w:w="567" w:type="dxa"/>
          </w:tcPr>
          <w:p w:rsidR="00AC4EF1" w:rsidRPr="00AC4EF1" w:rsidRDefault="00AC4EF1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N п/п</w:t>
            </w:r>
          </w:p>
        </w:tc>
        <w:tc>
          <w:tcPr>
            <w:tcW w:w="2324" w:type="dxa"/>
          </w:tcPr>
          <w:p w:rsidR="00AC4EF1" w:rsidRPr="00AC4EF1" w:rsidRDefault="00AC4EF1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Виды профилактических мероприятий</w:t>
            </w:r>
          </w:p>
        </w:tc>
        <w:tc>
          <w:tcPr>
            <w:tcW w:w="2835" w:type="dxa"/>
          </w:tcPr>
          <w:p w:rsidR="00AC4EF1" w:rsidRPr="00AC4EF1" w:rsidRDefault="00AC4EF1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Форма профилактического мероприятия</w:t>
            </w: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Содержание</w:t>
            </w:r>
          </w:p>
        </w:tc>
        <w:tc>
          <w:tcPr>
            <w:tcW w:w="2098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</w:tcPr>
          <w:p w:rsidR="00AC4EF1" w:rsidRPr="00AC4EF1" w:rsidRDefault="00AC4EF1" w:rsidP="00BA000A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Ответственные исполнители</w:t>
            </w: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AC4EF1" w:rsidRDefault="00AC4EF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1.</w:t>
            </w:r>
          </w:p>
        </w:tc>
        <w:tc>
          <w:tcPr>
            <w:tcW w:w="2324" w:type="dxa"/>
            <w:vMerge w:val="restart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Информирование</w:t>
            </w:r>
          </w:p>
        </w:tc>
        <w:tc>
          <w:tcPr>
            <w:tcW w:w="2835" w:type="dxa"/>
            <w:vMerge w:val="restart"/>
          </w:tcPr>
          <w:p w:rsidR="00AC4EF1" w:rsidRPr="00AC4EF1" w:rsidRDefault="00AC4EF1" w:rsidP="00BA000A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1.1. Размещение и поддержание в актуальном состоянии информации на официальном сайте министерства культуры Саратовской области в информационно-телекоммуникационной сети </w:t>
            </w:r>
            <w:r w:rsidR="00BA000A">
              <w:rPr>
                <w:rFonts w:ascii="PT Astra Serif" w:hAnsi="PT Astra Serif"/>
                <w:sz w:val="26"/>
                <w:szCs w:val="26"/>
              </w:rPr>
              <w:t>«</w:t>
            </w:r>
            <w:r w:rsidRPr="00AC4EF1">
              <w:rPr>
                <w:rFonts w:ascii="PT Astra Serif" w:hAnsi="PT Astra Serif"/>
                <w:sz w:val="26"/>
                <w:szCs w:val="26"/>
              </w:rPr>
              <w:t>Интернет</w:t>
            </w:r>
            <w:r w:rsidR="00BA000A">
              <w:rPr>
                <w:rFonts w:ascii="PT Astra Serif" w:hAnsi="PT Astra Serif"/>
                <w:sz w:val="26"/>
                <w:szCs w:val="26"/>
              </w:rPr>
              <w:t>»</w:t>
            </w: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Тексты нормативных правовых актов, регулирующих осуществление государственного контроля (надзора)</w:t>
            </w:r>
          </w:p>
        </w:tc>
        <w:tc>
          <w:tcPr>
            <w:tcW w:w="2098" w:type="dxa"/>
            <w:vMerge w:val="restart"/>
          </w:tcPr>
          <w:p w:rsidR="00AC4EF1" w:rsidRPr="00AC4EF1" w:rsidRDefault="008061A4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5C3E94">
              <w:rPr>
                <w:rFonts w:ascii="PT Astra Serif" w:hAnsi="PT Astra Serif"/>
                <w:sz w:val="26"/>
                <w:szCs w:val="26"/>
              </w:rPr>
              <w:t xml:space="preserve">Постоянно в </w:t>
            </w:r>
            <w:r w:rsidR="00AC4EF1" w:rsidRPr="005C3E94">
              <w:rPr>
                <w:rFonts w:ascii="PT Astra Serif" w:hAnsi="PT Astra Serif"/>
                <w:sz w:val="26"/>
                <w:szCs w:val="26"/>
              </w:rPr>
              <w:t xml:space="preserve">течение </w:t>
            </w:r>
            <w:r w:rsidRPr="005C3E94">
              <w:rPr>
                <w:rFonts w:ascii="PT Astra Serif" w:hAnsi="PT Astra Serif"/>
                <w:sz w:val="26"/>
                <w:szCs w:val="26"/>
              </w:rPr>
              <w:t xml:space="preserve">календарного </w:t>
            </w:r>
            <w:r w:rsidR="00AC4EF1" w:rsidRPr="005C3E94">
              <w:rPr>
                <w:rFonts w:ascii="PT Astra Serif" w:hAnsi="PT Astra Serif"/>
                <w:sz w:val="26"/>
                <w:szCs w:val="26"/>
              </w:rPr>
              <w:t>года</w:t>
            </w:r>
          </w:p>
        </w:tc>
        <w:tc>
          <w:tcPr>
            <w:tcW w:w="2835" w:type="dxa"/>
            <w:vMerge w:val="restart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Сведения об изменениях, внесенных в нормативные правовые акты, регулирующие осуществление государственного контроля (надзора), о сроках и порядке их вступления в силу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Перечень нормативных правовых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 w:rsidP="00BA000A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Руководства по соблюдению обязательных требований, разработанных и утвержденных в соответствии с Федеральным </w:t>
            </w:r>
            <w:r w:rsidR="00BA000A" w:rsidRPr="00BA000A">
              <w:rPr>
                <w:rFonts w:ascii="PT Astra Serif" w:hAnsi="PT Astra Serif"/>
                <w:sz w:val="26"/>
                <w:szCs w:val="26"/>
              </w:rPr>
              <w:t>закон</w:t>
            </w:r>
            <w:r w:rsidR="00BA000A">
              <w:rPr>
                <w:rFonts w:ascii="PT Astra Serif" w:hAnsi="PT Astra Serif"/>
                <w:sz w:val="26"/>
                <w:szCs w:val="26"/>
              </w:rPr>
              <w:t>ом</w:t>
            </w:r>
            <w:r w:rsidR="00BA000A" w:rsidRPr="00BA000A">
              <w:rPr>
                <w:rFonts w:ascii="PT Astra Serif" w:hAnsi="PT Astra Serif"/>
                <w:sz w:val="26"/>
                <w:szCs w:val="26"/>
              </w:rPr>
              <w:t xml:space="preserve"> от 31.07.2020 </w:t>
            </w:r>
            <w:r w:rsidR="00BA000A">
              <w:rPr>
                <w:rFonts w:ascii="PT Astra Serif" w:hAnsi="PT Astra Serif"/>
                <w:sz w:val="26"/>
                <w:szCs w:val="26"/>
              </w:rPr>
              <w:t>№</w:t>
            </w:r>
            <w:r w:rsidR="00BA000A" w:rsidRPr="00BA000A">
              <w:rPr>
                <w:rFonts w:ascii="PT Astra Serif" w:hAnsi="PT Astra Serif"/>
                <w:sz w:val="26"/>
                <w:szCs w:val="26"/>
              </w:rPr>
              <w:t xml:space="preserve"> 247-ФЗ </w:t>
            </w:r>
            <w:r w:rsidR="00BA000A">
              <w:rPr>
                <w:rFonts w:ascii="PT Astra Serif" w:hAnsi="PT Astra Serif"/>
                <w:sz w:val="26"/>
                <w:szCs w:val="26"/>
              </w:rPr>
              <w:t>«</w:t>
            </w:r>
            <w:r w:rsidR="00BA000A" w:rsidRPr="00BA000A">
              <w:rPr>
                <w:rFonts w:ascii="PT Astra Serif" w:hAnsi="PT Astra Serif"/>
                <w:sz w:val="26"/>
                <w:szCs w:val="26"/>
              </w:rPr>
              <w:t>Об обязательных требованиях в Российской Федерации</w:t>
            </w:r>
            <w:r w:rsidR="00BA000A">
              <w:rPr>
                <w:rFonts w:ascii="PT Astra Serif" w:hAnsi="PT Astra Serif"/>
                <w:sz w:val="26"/>
                <w:szCs w:val="26"/>
              </w:rPr>
              <w:t>»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Перечень индикаторов риска нарушения обязательных требований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Перечень объектов контроля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Программа профилактики рисков причинения вреда (ущерба) охраняемым законом ценностям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Исчерпывающий перечень сведений, которые могут запрашиваться у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контролируемого лица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Сведения о порядке досудебного обжалования решений министерства культуры Саратовской области, действий (бездействия) его должностных лиц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Доклады, содержащего результаты обобщения правоприменительной практики министерства культуры Саратовской области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Доклад о государственном контроле (надзоре)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Иные сведения, предусмотренные нормативными правовыми актами Российской Федерации, субъектов Российской Федерации и (или) программами профилактики рисков причинения вреда</w:t>
            </w:r>
          </w:p>
        </w:tc>
        <w:tc>
          <w:tcPr>
            <w:tcW w:w="2098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 w:val="restart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1.2. Информационная рассылка</w:t>
            </w: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Подготовка и рассылка контролируемым лицам, предоставляющим (услуги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(организующим предоставление услуг) экскурсоводов (гидов), гидов-переводчиков, информационных писем с разъяснением обязательных требований и ответственности за их несоблюдение (на адрес электронной почты и (или) юридический адрес)</w:t>
            </w:r>
          </w:p>
        </w:tc>
        <w:tc>
          <w:tcPr>
            <w:tcW w:w="2098" w:type="dxa"/>
          </w:tcPr>
          <w:p w:rsidR="00AC4EF1" w:rsidRPr="00AC4EF1" w:rsidRDefault="005C3E94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lastRenderedPageBreak/>
              <w:t xml:space="preserve">Постоянно в </w:t>
            </w:r>
            <w:r w:rsidR="008061A4" w:rsidRPr="008061A4">
              <w:rPr>
                <w:rFonts w:ascii="PT Astra Serif" w:hAnsi="PT Astra Serif"/>
                <w:sz w:val="26"/>
                <w:szCs w:val="26"/>
              </w:rPr>
              <w:t xml:space="preserve">течение календарного </w:t>
            </w:r>
            <w:r w:rsidR="008061A4" w:rsidRPr="008061A4">
              <w:rPr>
                <w:rFonts w:ascii="PT Astra Serif" w:hAnsi="PT Astra Serif"/>
                <w:sz w:val="26"/>
                <w:szCs w:val="26"/>
              </w:rPr>
              <w:lastRenderedPageBreak/>
              <w:t>года</w:t>
            </w:r>
          </w:p>
        </w:tc>
        <w:tc>
          <w:tcPr>
            <w:tcW w:w="2835" w:type="dxa"/>
            <w:vMerge w:val="restart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Должностные лица, уполномоченные на осуществление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969" w:type="dxa"/>
          </w:tcPr>
          <w:p w:rsidR="00AC4EF1" w:rsidRPr="00AC4EF1" w:rsidRDefault="00AC4EF1" w:rsidP="00247E23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1C434F">
              <w:rPr>
                <w:rFonts w:ascii="PT Astra Serif" w:hAnsi="PT Astra Serif"/>
                <w:sz w:val="26"/>
                <w:szCs w:val="26"/>
              </w:rPr>
              <w:t xml:space="preserve">Подготовка и рассылка владельцам средств размещения, внесенных в реестр классифицированных средств размещения, но не прошедших самооценку по состоянию на 01.06.2025, информационных писем с разъяснением обязательных требований и ответственности за их несоблюдение (на адрес электронной почты и (или) юридический адрес и (или) в сервисе сообщений ФГИС </w:t>
            </w:r>
            <w:r w:rsidR="00247E23" w:rsidRPr="001C434F">
              <w:rPr>
                <w:rFonts w:ascii="PT Astra Serif" w:hAnsi="PT Astra Serif"/>
                <w:sz w:val="26"/>
                <w:szCs w:val="26"/>
              </w:rPr>
              <w:t>«</w:t>
            </w:r>
            <w:r w:rsidRPr="001C434F">
              <w:rPr>
                <w:rFonts w:ascii="PT Astra Serif" w:hAnsi="PT Astra Serif"/>
                <w:sz w:val="26"/>
                <w:szCs w:val="26"/>
              </w:rPr>
              <w:t>Гостеприимство</w:t>
            </w:r>
            <w:r w:rsidR="00247E23" w:rsidRPr="001C434F">
              <w:rPr>
                <w:rFonts w:ascii="PT Astra Serif" w:hAnsi="PT Astra Serif"/>
                <w:sz w:val="26"/>
                <w:szCs w:val="26"/>
              </w:rPr>
              <w:t>»</w:t>
            </w:r>
            <w:r w:rsidRPr="001C434F">
              <w:rPr>
                <w:rFonts w:ascii="PT Astra Serif" w:hAnsi="PT Astra Serif"/>
                <w:sz w:val="26"/>
                <w:szCs w:val="26"/>
              </w:rPr>
              <w:t>)</w:t>
            </w:r>
          </w:p>
        </w:tc>
        <w:tc>
          <w:tcPr>
            <w:tcW w:w="2098" w:type="dxa"/>
          </w:tcPr>
          <w:p w:rsidR="00AC4EF1" w:rsidRPr="00AC4EF1" w:rsidRDefault="005C3E94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Постоянно в </w:t>
            </w:r>
            <w:r w:rsidRPr="005C3E94">
              <w:rPr>
                <w:rFonts w:ascii="PT Astra Serif" w:hAnsi="PT Astra Serif"/>
                <w:sz w:val="26"/>
                <w:szCs w:val="26"/>
              </w:rPr>
              <w:t>течение календарного года</w:t>
            </w:r>
          </w:p>
        </w:tc>
        <w:tc>
          <w:tcPr>
            <w:tcW w:w="2835" w:type="dxa"/>
            <w:vMerge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</w:tcPr>
          <w:p w:rsidR="00AC4EF1" w:rsidRPr="00AC4EF1" w:rsidRDefault="00AC4EF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2.</w:t>
            </w:r>
          </w:p>
        </w:tc>
        <w:tc>
          <w:tcPr>
            <w:tcW w:w="2324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835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2.1. Объявление предостережения о недопустимости нарушения обязательных требований</w:t>
            </w: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Предостережение о недопустимости нарушения обязательных требований объявляется и направляется контролируемому лицу в случае наличия у министерства культуры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Саратовской области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098" w:type="dxa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При поступлении сведений</w:t>
            </w:r>
          </w:p>
        </w:tc>
        <w:tc>
          <w:tcPr>
            <w:tcW w:w="2835" w:type="dxa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Должностные лица, уполномоченные на осуществление регионального государственного контроля (надзора) в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AC4EF1" w:rsidRDefault="00AC4EF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3.</w:t>
            </w:r>
          </w:p>
        </w:tc>
        <w:tc>
          <w:tcPr>
            <w:tcW w:w="2324" w:type="dxa"/>
            <w:vMerge w:val="restart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Консультирование</w:t>
            </w:r>
          </w:p>
        </w:tc>
        <w:tc>
          <w:tcPr>
            <w:tcW w:w="2835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3.1. Устное консультирование</w:t>
            </w: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Консультирование в виде устных разъяснений осуществляется по телефону, посредством видео-конференц-связи, либо в ходе проведения профилактического визита, контрольного (надзорного) мероприятия</w:t>
            </w:r>
          </w:p>
        </w:tc>
        <w:tc>
          <w:tcPr>
            <w:tcW w:w="2098" w:type="dxa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По мере поступления обращений</w:t>
            </w:r>
          </w:p>
        </w:tc>
        <w:tc>
          <w:tcPr>
            <w:tcW w:w="2835" w:type="dxa"/>
            <w:vMerge w:val="restart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3.2. Консультирование в письменной форме</w:t>
            </w:r>
          </w:p>
        </w:tc>
        <w:tc>
          <w:tcPr>
            <w:tcW w:w="3969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Консультирование в письменной форме осуществляется в случае поступления от контролируемого лица запроса о предоставлении письменного ответа по вопросам консультирования</w:t>
            </w:r>
          </w:p>
        </w:tc>
        <w:tc>
          <w:tcPr>
            <w:tcW w:w="2098" w:type="dxa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В течение 30 дней со дня регистрации обращения</w:t>
            </w: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</w:tcPr>
          <w:p w:rsidR="00AC4EF1" w:rsidRPr="00AC4EF1" w:rsidRDefault="00AC4EF1" w:rsidP="006C5134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3.3. Консультирование посредством размещения ответов на</w:t>
            </w:r>
            <w:r w:rsidR="006C5134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6C5134" w:rsidRPr="006C5134">
              <w:rPr>
                <w:rFonts w:ascii="PT Astra Serif" w:hAnsi="PT Astra Serif"/>
                <w:sz w:val="26"/>
                <w:szCs w:val="26"/>
              </w:rPr>
              <w:lastRenderedPageBreak/>
              <w:t>официальном сайте министерства культуры Саратовской области</w:t>
            </w:r>
            <w:r w:rsidR="006C5134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6C5134" w:rsidRPr="006C5134">
              <w:rPr>
                <w:rFonts w:ascii="PT Astra Serif" w:hAnsi="PT Astra Serif"/>
                <w:sz w:val="26"/>
                <w:szCs w:val="26"/>
              </w:rPr>
              <w:t>https://mincult.saratov.gov.ru/</w:t>
            </w:r>
            <w:bookmarkStart w:id="1" w:name="_GoBack"/>
            <w:bookmarkEnd w:id="1"/>
          </w:p>
        </w:tc>
        <w:tc>
          <w:tcPr>
            <w:tcW w:w="3969" w:type="dxa"/>
          </w:tcPr>
          <w:p w:rsidR="00AC4EF1" w:rsidRPr="00AC4EF1" w:rsidRDefault="00AC4EF1" w:rsidP="006C5134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Консультирование по однотипным вопросам (пять и более обращений по одним и тем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же вопросам) осуществляется посредством размещения на официально</w:t>
            </w:r>
            <w:r w:rsidR="006C5134">
              <w:rPr>
                <w:rFonts w:ascii="PT Astra Serif" w:hAnsi="PT Astra Serif"/>
                <w:sz w:val="26"/>
                <w:szCs w:val="26"/>
              </w:rPr>
              <w:t>м</w:t>
            </w:r>
            <w:r w:rsidRPr="00AC4EF1">
              <w:rPr>
                <w:rFonts w:ascii="PT Astra Serif" w:hAnsi="PT Astra Serif"/>
                <w:sz w:val="26"/>
                <w:szCs w:val="26"/>
              </w:rPr>
              <w:t xml:space="preserve"> сайте министерства культуры Саратовской</w:t>
            </w:r>
            <w:r w:rsidR="006C5134">
              <w:rPr>
                <w:rFonts w:ascii="PT Astra Serif" w:hAnsi="PT Astra Serif"/>
                <w:sz w:val="26"/>
                <w:szCs w:val="26"/>
              </w:rPr>
              <w:t xml:space="preserve"> области письменных разъяснений</w:t>
            </w:r>
          </w:p>
        </w:tc>
        <w:tc>
          <w:tcPr>
            <w:tcW w:w="2098" w:type="dxa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В течение года (при наличии однотипных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обращений)</w:t>
            </w: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AC4EF1" w:rsidRPr="00AC4EF1" w:rsidTr="00BA000A">
        <w:tc>
          <w:tcPr>
            <w:tcW w:w="567" w:type="dxa"/>
            <w:vMerge w:val="restart"/>
          </w:tcPr>
          <w:p w:rsidR="00AC4EF1" w:rsidRPr="00AC4EF1" w:rsidRDefault="00AC4EF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4.</w:t>
            </w:r>
          </w:p>
        </w:tc>
        <w:tc>
          <w:tcPr>
            <w:tcW w:w="2324" w:type="dxa"/>
            <w:vMerge w:val="restart"/>
          </w:tcPr>
          <w:p w:rsidR="00AC4EF1" w:rsidRPr="00AC4EF1" w:rsidRDefault="00AC4EF1" w:rsidP="00307377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Профилактический визит</w:t>
            </w:r>
          </w:p>
        </w:tc>
        <w:tc>
          <w:tcPr>
            <w:tcW w:w="2835" w:type="dxa"/>
          </w:tcPr>
          <w:p w:rsidR="00AC4EF1" w:rsidRPr="00AC4EF1" w:rsidRDefault="00AC4EF1" w:rsidP="00307377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4.1. Профилактический визит по инициативе министерства культуры Саратовской области (обязательный профилактический визит)</w:t>
            </w:r>
          </w:p>
        </w:tc>
        <w:tc>
          <w:tcPr>
            <w:tcW w:w="3969" w:type="dxa"/>
          </w:tcPr>
          <w:p w:rsidR="00AC4EF1" w:rsidRPr="00AC4EF1" w:rsidRDefault="00AC4EF1" w:rsidP="00307377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Профилактическая беседа по месту осуществления деятельности контролируемого лица, либо путем использования видео-конференц-связи или мобильного приложения </w:t>
            </w:r>
            <w:r w:rsidR="00A24C76">
              <w:rPr>
                <w:rFonts w:ascii="PT Astra Serif" w:hAnsi="PT Astra Serif"/>
                <w:sz w:val="26"/>
                <w:szCs w:val="26"/>
              </w:rPr>
              <w:t>«</w:t>
            </w:r>
            <w:r w:rsidRPr="00AC4EF1">
              <w:rPr>
                <w:rFonts w:ascii="PT Astra Serif" w:hAnsi="PT Astra Serif"/>
                <w:sz w:val="26"/>
                <w:szCs w:val="26"/>
              </w:rPr>
              <w:t>Инспектор</w:t>
            </w:r>
            <w:r w:rsidR="00A24C76">
              <w:rPr>
                <w:rFonts w:ascii="PT Astra Serif" w:hAnsi="PT Astra Serif"/>
                <w:sz w:val="26"/>
                <w:szCs w:val="26"/>
              </w:rPr>
              <w:t>»</w:t>
            </w:r>
            <w:r w:rsidRPr="00AC4EF1">
              <w:rPr>
                <w:rFonts w:ascii="PT Astra Serif" w:hAnsi="PT Astra Serif"/>
                <w:sz w:val="26"/>
                <w:szCs w:val="26"/>
              </w:rPr>
              <w:t>, в ходе которого контролируемое лицо информируется об обязательных требованиях, предъявляемых к его деятельности либо к принадлежащим ему объектам контроля, а должностное лицо министерства культуры Саратовской области осуществляет ознакомление с объектом контроля и проводит оценку уровня соблюдения контролируемым лицом обязательных требований</w:t>
            </w:r>
          </w:p>
        </w:tc>
        <w:tc>
          <w:tcPr>
            <w:tcW w:w="2098" w:type="dxa"/>
          </w:tcPr>
          <w:p w:rsidR="00AC4EF1" w:rsidRPr="00AC4EF1" w:rsidRDefault="00AC4EF1" w:rsidP="00307377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Проводится по основаниям и в сроки, предусмотренные </w:t>
            </w:r>
            <w:hyperlink r:id="rId6">
              <w:r w:rsidRPr="00367D9E">
                <w:rPr>
                  <w:rFonts w:ascii="PT Astra Serif" w:hAnsi="PT Astra Serif"/>
                  <w:sz w:val="26"/>
                  <w:szCs w:val="26"/>
                </w:rPr>
                <w:t>статьей 52.1</w:t>
              </w:r>
            </w:hyperlink>
            <w:r w:rsidRPr="00367D9E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AC4EF1">
              <w:rPr>
                <w:rFonts w:ascii="PT Astra Serif" w:hAnsi="PT Astra Serif"/>
                <w:sz w:val="26"/>
                <w:szCs w:val="26"/>
              </w:rPr>
              <w:t xml:space="preserve">Федерального закона </w:t>
            </w:r>
            <w:r w:rsidR="00367D9E">
              <w:rPr>
                <w:rFonts w:ascii="PT Astra Serif" w:hAnsi="PT Astra Serif"/>
                <w:sz w:val="26"/>
                <w:szCs w:val="26"/>
              </w:rPr>
              <w:t>№</w:t>
            </w:r>
            <w:r w:rsidRPr="00AC4EF1">
              <w:rPr>
                <w:rFonts w:ascii="PT Astra Serif" w:hAnsi="PT Astra Serif"/>
                <w:sz w:val="26"/>
                <w:szCs w:val="26"/>
              </w:rPr>
              <w:t xml:space="preserve"> 248-ФЗ</w:t>
            </w:r>
          </w:p>
        </w:tc>
        <w:tc>
          <w:tcPr>
            <w:tcW w:w="2835" w:type="dxa"/>
            <w:vMerge w:val="restart"/>
          </w:tcPr>
          <w:p w:rsidR="00AC4EF1" w:rsidRPr="00AC4EF1" w:rsidRDefault="00AC4EF1" w:rsidP="00307377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Должностные лица, уполномоченные на осуществление регионального государственного контроля (надзора) в сфере туристской индустрии</w:t>
            </w:r>
          </w:p>
        </w:tc>
      </w:tr>
      <w:tr w:rsidR="00AC4EF1" w:rsidRPr="00AC4EF1" w:rsidTr="00BA000A">
        <w:tc>
          <w:tcPr>
            <w:tcW w:w="567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324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835" w:type="dxa"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>4.2. Профилактический визит по заявлению контролируемого лица</w:t>
            </w:r>
          </w:p>
        </w:tc>
        <w:tc>
          <w:tcPr>
            <w:tcW w:w="3969" w:type="dxa"/>
          </w:tcPr>
          <w:p w:rsidR="00AC4EF1" w:rsidRPr="00AC4EF1" w:rsidRDefault="00AC4EF1" w:rsidP="00A24C76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t xml:space="preserve">Профилактическая беседа по месту осуществления деятельности контролируемого лица, либо путем использования видео-конференц-связи или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мобильного приложения </w:t>
            </w:r>
            <w:r w:rsidR="00A24C76">
              <w:rPr>
                <w:rFonts w:ascii="PT Astra Serif" w:hAnsi="PT Astra Serif"/>
                <w:sz w:val="26"/>
                <w:szCs w:val="26"/>
              </w:rPr>
              <w:t>«</w:t>
            </w:r>
            <w:r w:rsidRPr="00AC4EF1">
              <w:rPr>
                <w:rFonts w:ascii="PT Astra Serif" w:hAnsi="PT Astra Serif"/>
                <w:sz w:val="26"/>
                <w:szCs w:val="26"/>
              </w:rPr>
              <w:t>Инспектор</w:t>
            </w:r>
            <w:r w:rsidR="00A24C76">
              <w:rPr>
                <w:rFonts w:ascii="PT Astra Serif" w:hAnsi="PT Astra Serif"/>
                <w:sz w:val="26"/>
                <w:szCs w:val="26"/>
              </w:rPr>
              <w:t>»</w:t>
            </w:r>
            <w:r w:rsidRPr="00AC4EF1">
              <w:rPr>
                <w:rFonts w:ascii="PT Astra Serif" w:hAnsi="PT Astra Serif"/>
                <w:sz w:val="26"/>
                <w:szCs w:val="26"/>
              </w:rPr>
              <w:t>, осуществляемая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учреждением</w:t>
            </w:r>
          </w:p>
        </w:tc>
        <w:tc>
          <w:tcPr>
            <w:tcW w:w="2098" w:type="dxa"/>
          </w:tcPr>
          <w:p w:rsidR="00AC4EF1" w:rsidRPr="00AC4EF1" w:rsidRDefault="00AC4EF1" w:rsidP="00367D9E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Дата проведения согласуется в течение 20 рабочих дней со дня принятия </w:t>
            </w:r>
            <w:r w:rsidRPr="00AC4EF1">
              <w:rPr>
                <w:rFonts w:ascii="PT Astra Serif" w:hAnsi="PT Astra Serif"/>
                <w:sz w:val="26"/>
                <w:szCs w:val="26"/>
              </w:rPr>
              <w:lastRenderedPageBreak/>
              <w:t>решения о проведении профилактического визита</w:t>
            </w:r>
          </w:p>
        </w:tc>
        <w:tc>
          <w:tcPr>
            <w:tcW w:w="2835" w:type="dxa"/>
            <w:vMerge/>
          </w:tcPr>
          <w:p w:rsidR="00AC4EF1" w:rsidRPr="00AC4EF1" w:rsidRDefault="00AC4EF1">
            <w:pPr>
              <w:pStyle w:val="ConsPlusNormal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AC4EF1" w:rsidRPr="00AC4EF1" w:rsidRDefault="00AC4EF1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sectPr w:rsidR="00AC4EF1" w:rsidRPr="00AC4EF1" w:rsidSect="006E785B">
      <w:headerReference w:type="default" r:id="rId7"/>
      <w:headerReference w:type="first" r:id="rId8"/>
      <w:pgSz w:w="16840" w:h="11905" w:orient="landscape"/>
      <w:pgMar w:top="1134" w:right="1134" w:bottom="1134" w:left="1134" w:header="567" w:footer="0" w:gutter="0"/>
      <w:pgNumType w:start="1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958" w:rsidRDefault="00024958" w:rsidP="006E785B">
      <w:pPr>
        <w:spacing w:after="0" w:line="240" w:lineRule="auto"/>
      </w:pPr>
      <w:r>
        <w:separator/>
      </w:r>
    </w:p>
  </w:endnote>
  <w:endnote w:type="continuationSeparator" w:id="0">
    <w:p w:rsidR="00024958" w:rsidRDefault="00024958" w:rsidP="006E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958" w:rsidRDefault="00024958" w:rsidP="006E785B">
      <w:pPr>
        <w:spacing w:after="0" w:line="240" w:lineRule="auto"/>
      </w:pPr>
      <w:r>
        <w:separator/>
      </w:r>
    </w:p>
  </w:footnote>
  <w:footnote w:type="continuationSeparator" w:id="0">
    <w:p w:rsidR="00024958" w:rsidRDefault="00024958" w:rsidP="006E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2586227"/>
      <w:docPartObj>
        <w:docPartGallery w:val="Page Numbers (Top of Page)"/>
        <w:docPartUnique/>
      </w:docPartObj>
    </w:sdtPr>
    <w:sdtEndPr/>
    <w:sdtContent>
      <w:p w:rsidR="006E785B" w:rsidRDefault="006E785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134">
          <w:rPr>
            <w:noProof/>
          </w:rPr>
          <w:t>14</w:t>
        </w:r>
        <w:r>
          <w:fldChar w:fldCharType="end"/>
        </w:r>
      </w:p>
    </w:sdtContent>
  </w:sdt>
  <w:p w:rsidR="006E785B" w:rsidRDefault="006E785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5318583"/>
      <w:docPartObj>
        <w:docPartGallery w:val="Page Numbers (Top of Page)"/>
        <w:docPartUnique/>
      </w:docPartObj>
    </w:sdtPr>
    <w:sdtEndPr/>
    <w:sdtContent>
      <w:p w:rsidR="006E785B" w:rsidRDefault="006E785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134">
          <w:rPr>
            <w:noProof/>
          </w:rPr>
          <w:t>10</w:t>
        </w:r>
        <w:r>
          <w:fldChar w:fldCharType="end"/>
        </w:r>
      </w:p>
    </w:sdtContent>
  </w:sdt>
  <w:p w:rsidR="006E785B" w:rsidRDefault="006E785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F1"/>
    <w:rsid w:val="00024958"/>
    <w:rsid w:val="001C434F"/>
    <w:rsid w:val="00247E23"/>
    <w:rsid w:val="00307377"/>
    <w:rsid w:val="00367D9E"/>
    <w:rsid w:val="004A3F5B"/>
    <w:rsid w:val="005C3E94"/>
    <w:rsid w:val="006C5134"/>
    <w:rsid w:val="006E785B"/>
    <w:rsid w:val="00740B10"/>
    <w:rsid w:val="008061A4"/>
    <w:rsid w:val="00A24C76"/>
    <w:rsid w:val="00AC4EF1"/>
    <w:rsid w:val="00BA000A"/>
    <w:rsid w:val="00DA4352"/>
    <w:rsid w:val="00EF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C68DE51-A514-45FB-A1FD-C5AA2FBA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4E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AC4EF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C4EF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C4EF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C4EF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C4EF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C4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4EF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E7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785B"/>
  </w:style>
  <w:style w:type="paragraph" w:styleId="ac">
    <w:name w:val="footer"/>
    <w:basedOn w:val="a"/>
    <w:link w:val="ad"/>
    <w:uiPriority w:val="99"/>
    <w:unhideWhenUsed/>
    <w:rsid w:val="006E7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E7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984&amp;dst=10136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Хомутова Ольга Сергеевна</dc:creator>
  <cp:keywords/>
  <dc:description/>
  <cp:lastModifiedBy>Хомутова Ольга Сергеевна</cp:lastModifiedBy>
  <cp:revision>11</cp:revision>
  <dcterms:created xsi:type="dcterms:W3CDTF">2026-05-21T08:41:00Z</dcterms:created>
  <dcterms:modified xsi:type="dcterms:W3CDTF">2026-05-22T10:34:00Z</dcterms:modified>
</cp:coreProperties>
</file>