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67" w:rsidRDefault="00740E6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40E67" w:rsidRDefault="00740E67">
      <w:pPr>
        <w:pStyle w:val="ConsPlusNormal"/>
        <w:jc w:val="both"/>
        <w:outlineLvl w:val="0"/>
      </w:pPr>
    </w:p>
    <w:p w:rsidR="00740E67" w:rsidRDefault="00740E67">
      <w:pPr>
        <w:pStyle w:val="ConsPlusTitle"/>
        <w:jc w:val="center"/>
        <w:outlineLvl w:val="0"/>
      </w:pPr>
      <w:r>
        <w:t>МИНИСТЕРСТВО КУЛЬТУРЫ РОССИЙСКОЙ ФЕДЕРАЦИИ</w:t>
      </w:r>
    </w:p>
    <w:p w:rsidR="00740E67" w:rsidRDefault="00740E67">
      <w:pPr>
        <w:pStyle w:val="ConsPlusTitle"/>
        <w:jc w:val="center"/>
      </w:pPr>
    </w:p>
    <w:p w:rsidR="00740E67" w:rsidRDefault="00740E67">
      <w:pPr>
        <w:pStyle w:val="ConsPlusTitle"/>
        <w:jc w:val="center"/>
      </w:pPr>
      <w:r>
        <w:t>РАСПОРЯЖЕНИЕ</w:t>
      </w:r>
    </w:p>
    <w:p w:rsidR="00740E67" w:rsidRDefault="00740E67">
      <w:pPr>
        <w:pStyle w:val="ConsPlusTitle"/>
        <w:jc w:val="center"/>
      </w:pPr>
      <w:r>
        <w:t>от 18 декабря 2020 г. N Р-1681</w:t>
      </w:r>
    </w:p>
    <w:p w:rsidR="00740E67" w:rsidRDefault="00740E67">
      <w:pPr>
        <w:pStyle w:val="ConsPlusTitle"/>
        <w:jc w:val="center"/>
      </w:pPr>
    </w:p>
    <w:p w:rsidR="00740E67" w:rsidRDefault="00740E67">
      <w:pPr>
        <w:pStyle w:val="ConsPlusTitle"/>
        <w:jc w:val="center"/>
      </w:pPr>
      <w:r>
        <w:t>О МЕТОДИЧЕСКИХ РЕКОМЕНДАЦИЯХ</w:t>
      </w:r>
    </w:p>
    <w:p w:rsidR="00740E67" w:rsidRDefault="00740E67">
      <w:pPr>
        <w:pStyle w:val="ConsPlusTitle"/>
        <w:jc w:val="center"/>
      </w:pPr>
      <w:r>
        <w:t>ПО ОРГАНИЗАЦИИ И ПРОВЕДЕНИЮ НЕЗАВИСИМОЙ ОЦЕНКИ КАЧЕСТВА</w:t>
      </w:r>
    </w:p>
    <w:p w:rsidR="00740E67" w:rsidRDefault="00740E67">
      <w:pPr>
        <w:pStyle w:val="ConsPlusTitle"/>
        <w:jc w:val="center"/>
      </w:pPr>
      <w:r>
        <w:t>УСЛОВИЙ ОКАЗАНИЯ УСЛУГ ОРГАНИЗАЦИЯМИ В СФЕРЕ КУЛЬТУРЫ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статей 36.1</w:t>
        </w:r>
      </w:hyperlink>
      <w:r>
        <w:t xml:space="preserve"> и </w:t>
      </w:r>
      <w:hyperlink r:id="rId6">
        <w:r>
          <w:rPr>
            <w:color w:val="0000FF"/>
          </w:rPr>
          <w:t>36.2</w:t>
        </w:r>
      </w:hyperlink>
      <w:r>
        <w:t xml:space="preserve"> Основ законодательства Российской Федерации о культуре (утв. ВС РФ от 09.10.1992 N 3612-1):</w:t>
      </w:r>
    </w:p>
    <w:p w:rsidR="00740E67" w:rsidRDefault="00740E67">
      <w:pPr>
        <w:pStyle w:val="ConsPlusNormal"/>
        <w:spacing w:before="280"/>
        <w:ind w:firstLine="540"/>
        <w:jc w:val="both"/>
      </w:pPr>
      <w:bookmarkStart w:id="0" w:name="P11"/>
      <w:bookmarkEnd w:id="0"/>
      <w:r>
        <w:t xml:space="preserve">1. Рекомендовать органам исполнительной власти субъектов Российской Федерации, органам местного самоуправления в сфере культуры Методические </w:t>
      </w:r>
      <w:hyperlink w:anchor="P27">
        <w:r>
          <w:rPr>
            <w:color w:val="0000FF"/>
          </w:rPr>
          <w:t>рекомендации</w:t>
        </w:r>
      </w:hyperlink>
      <w:r>
        <w:t xml:space="preserve"> по организации и проведению независимой оценки качества условий оказания услуг организациями в сфере культуры (приложение к настоящему распоряжению) к использованию при организации и проведении независимой оценки качества условий оказания услуг организациями культуры.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2. Департаменту регионального развития и приоритетных проектов (О.А. Юркова) обеспечить направление Методических </w:t>
      </w:r>
      <w:hyperlink w:anchor="P27">
        <w:r>
          <w:rPr>
            <w:color w:val="0000FF"/>
          </w:rPr>
          <w:t>рекомендаций</w:t>
        </w:r>
      </w:hyperlink>
      <w:r>
        <w:t xml:space="preserve">, указанных в </w:t>
      </w:r>
      <w:hyperlink w:anchor="P11">
        <w:r>
          <w:rPr>
            <w:color w:val="0000FF"/>
          </w:rPr>
          <w:t>пункте 1</w:t>
        </w:r>
      </w:hyperlink>
      <w:r>
        <w:t xml:space="preserve"> настоящего распоряжения, в органы исполнительной власти субъектов Российской Федерации и органы местного самоуправления в сфере культуры.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3. Контроль за исполнением настоящего распоряжения возложить на заместителя Министра культуры Российской Федерации О.С. Ярилову.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jc w:val="right"/>
      </w:pPr>
      <w:r>
        <w:t>Министр</w:t>
      </w:r>
    </w:p>
    <w:p w:rsidR="00740E67" w:rsidRDefault="00740E67">
      <w:pPr>
        <w:pStyle w:val="ConsPlusNormal"/>
        <w:jc w:val="right"/>
      </w:pPr>
      <w:r>
        <w:t>О.Б.ЛЮБИМОВА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jc w:val="right"/>
        <w:outlineLvl w:val="0"/>
      </w:pPr>
      <w:r>
        <w:t>Приложение</w:t>
      </w:r>
    </w:p>
    <w:p w:rsidR="00740E67" w:rsidRDefault="00740E67">
      <w:pPr>
        <w:pStyle w:val="ConsPlusNormal"/>
        <w:jc w:val="right"/>
      </w:pPr>
      <w:r>
        <w:t>к распоряжению Министерства культуры</w:t>
      </w:r>
    </w:p>
    <w:p w:rsidR="00740E67" w:rsidRDefault="00740E67">
      <w:pPr>
        <w:pStyle w:val="ConsPlusNormal"/>
        <w:jc w:val="right"/>
      </w:pPr>
      <w:r>
        <w:t>Российской Федерации</w:t>
      </w:r>
    </w:p>
    <w:p w:rsidR="00740E67" w:rsidRDefault="00740E67">
      <w:pPr>
        <w:pStyle w:val="ConsPlusNormal"/>
        <w:jc w:val="right"/>
      </w:pPr>
      <w:r>
        <w:t>от 18 декабря 2020 г. N Р-1681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Title"/>
        <w:jc w:val="center"/>
      </w:pPr>
      <w:bookmarkStart w:id="1" w:name="P27"/>
      <w:bookmarkEnd w:id="1"/>
      <w:r>
        <w:t>МЕТОДИЧЕСКИЕ РЕКОМЕНДАЦИИ</w:t>
      </w:r>
    </w:p>
    <w:p w:rsidR="00740E67" w:rsidRDefault="00740E67">
      <w:pPr>
        <w:pStyle w:val="ConsPlusTitle"/>
        <w:jc w:val="center"/>
      </w:pPr>
      <w:r>
        <w:t>ПО ОРГАНИЗАЦИИ И ПРОВЕДЕНИЮ НЕЗАВИСИМОЙ ОЦЕНКИ КАЧЕСТВА</w:t>
      </w:r>
    </w:p>
    <w:p w:rsidR="00740E67" w:rsidRDefault="00740E67">
      <w:pPr>
        <w:pStyle w:val="ConsPlusTitle"/>
        <w:jc w:val="center"/>
      </w:pPr>
      <w:r>
        <w:t>УСЛОВИЙ ОКАЗАНИЯ УСЛУГ ОРГАНИЗАЦИЯМИ В СФЕРЕ КУЛЬТУРЫ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Title"/>
        <w:jc w:val="center"/>
        <w:outlineLvl w:val="1"/>
      </w:pPr>
      <w:r>
        <w:t>1. Общие положения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ind w:firstLine="540"/>
        <w:jc w:val="both"/>
      </w:pPr>
      <w:r>
        <w:t xml:space="preserve">1.1. Настоящие Методические рекомендации по организации и проведению независимой оценки качества условий оказания услуг организациями в сфере культуры (далее - Методические рекомендации, независимая оценка) разработаны в целях реализации </w:t>
      </w:r>
      <w:hyperlink r:id="rId7">
        <w:r>
          <w:rPr>
            <w:color w:val="0000FF"/>
          </w:rPr>
          <w:t>статей 36.1</w:t>
        </w:r>
      </w:hyperlink>
      <w:r>
        <w:t xml:space="preserve"> и </w:t>
      </w:r>
      <w:hyperlink r:id="rId8">
        <w:r>
          <w:rPr>
            <w:color w:val="0000FF"/>
          </w:rPr>
          <w:t>36.2</w:t>
        </w:r>
      </w:hyperlink>
      <w:r>
        <w:t xml:space="preserve"> Основ законодательства Российской Федерации о культуре (утв. ВС РФ 09.10.1992 N 3612-1).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1.2. Методические рекомендации направлены на обеспечение единства основных подходов к организации и проведению независимой оценки качества условий оказания услуг организациями в сфере культуры.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1.3. Методические рекомендации не применяются при организации и проведении независимой оценки организаций, осуществляющих образовательную деятельность в сфере культуры и искусства &lt;1&gt;.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&lt;1&gt; Независимая оценка качества условий оказания услуг организациями, осуществляющими образовательную деятельность в сфере культуры и искусства, проводится общественными советами по проведению независимой оценки, созданными при: федеральном органе исполнительной власти, осуществляющем функции по выработке государственной политики и нормативно-правовому регулированию в сфере образования; органах исполнительной власти субъектов Российской Федерации, осуществляющих государственное управление в сфере образования; органах местного самоуправления, имеющих соответствующее направление деятельности (</w:t>
      </w:r>
      <w:hyperlink r:id="rId9">
        <w:r>
          <w:rPr>
            <w:color w:val="0000FF"/>
          </w:rPr>
          <w:t>статья 7</w:t>
        </w:r>
      </w:hyperlink>
      <w:r>
        <w:t xml:space="preserve"> Федерального закона N 392-ФЗ).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ind w:firstLine="540"/>
        <w:jc w:val="both"/>
      </w:pPr>
      <w:r>
        <w:t>1.4. Правовую основу независимой оценки составляют: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 (утв. ВС РФ от 09.10.1992 N 3612-1) (далее - Основы законодательства о культуре);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N 392-ФЗ);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31.05.2018 N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Минюстом России 08.05.2015, регистрационный N 37187);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27.04.2018 N 599 "Об утверждении показателей, характеризующих общие критерии оценки качества условий оказания услуг организациями культуры" (зарегистрирован Минюстом России 18.05.2018, регистрационный N 51132) (далее - приказ Минкультуры России N 599);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20.11.2015 N 2834 "Об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Федерации" (зарегистрирован Минюстом России 10.12.2015, регистрационный N 40073) (далее - приказ Минкультуры России N 2834);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30.10.2018 N 675н "Об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 Минюстом России 20.11.2018, регистрационный N 52726) (далее - приказ Минтруда России N 675н);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 Минюстом России 11.10.2018, регистрационный N 52409);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07.05.2019 N 66н 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информации" (зарегистрирован Минюстом России 29.07.2019, регистрационный N 55422) (далее - приказ Минфина России N 66н).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Title"/>
        <w:jc w:val="center"/>
        <w:outlineLvl w:val="1"/>
      </w:pPr>
      <w:r>
        <w:t>2. Подготовка к проведению независимой оценки качества</w:t>
      </w:r>
    </w:p>
    <w:p w:rsidR="00740E67" w:rsidRDefault="00740E67">
      <w:pPr>
        <w:pStyle w:val="ConsPlusTitle"/>
        <w:jc w:val="center"/>
      </w:pPr>
      <w:r>
        <w:t>условий оказания услуг организациями в сфере культуры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ind w:firstLine="540"/>
        <w:jc w:val="both"/>
      </w:pPr>
      <w:r>
        <w:t>2.1. Независимая оценка качества условий оказания услуг организациями в сфере культуры осуществляется общественными советами по проведению независимой оценки (далее - Общественные советы).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В целях формирования и утверждения составов Общественных советов органы исполнительной власти субъектов Российской Федерации, органы местного самоуправления (далее - уполномоченные органы) инициируют обращения в общественные палаты субъектов Российской Федерации, общественные палаты (советы) муниципальных образований (далее - общественные палаты).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Утверждение положений об Общественных советах осуществляется уполномоченными органами, при которых они создаются &lt;2&gt;.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9">
        <w:r>
          <w:rPr>
            <w:color w:val="0000FF"/>
          </w:rPr>
          <w:t>Статья 36.1</w:t>
        </w:r>
      </w:hyperlink>
      <w:r>
        <w:t xml:space="preserve"> Основ законодательства о культуре.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ind w:firstLine="540"/>
        <w:jc w:val="both"/>
      </w:pPr>
      <w:r>
        <w:t>2.2. В отсутствие Общественных советов, сформированных общественными палатами (советами) муниципальных образований, организацию и проведение независимой оценки в отношении муниципальных организаций культуры, иных организаций, расположенных на территориях соответствующих муниципальных образований, следует осуществлять органам государственной власти субъектов Российской Федерации в сфере культуры.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2.3. Для подготовки перечня организаций культуры, в отношении которых будет проводиться независимая оценка, уполномоченным органам рекомендуется заблаговременно формировать сведения о расположенных на территории субъектов Российской Федерации и муниципальных образований организациях культуры и направлять их в соответствующие Общественные советы.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2.4. Перечни организаций культуры, в отношении которых проводится независимая оценка, размещаются на официальных сайтах уполномоченных органов и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сайт bus.gov.ru) &lt;3&gt;.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Пп. 5 п. 1</w:t>
        </w:r>
      </w:hyperlink>
      <w:r>
        <w:t xml:space="preserve"> приказа Минфина России N 66н.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ind w:firstLine="540"/>
        <w:jc w:val="both"/>
      </w:pPr>
      <w:r>
        <w:t xml:space="preserve">2.5. </w:t>
      </w:r>
      <w:hyperlink r:id="rId21">
        <w:r>
          <w:rPr>
            <w:color w:val="0000FF"/>
          </w:rPr>
          <w:t>Перечень</w:t>
        </w:r>
      </w:hyperlink>
      <w:r>
        <w:t xml:space="preserve"> организаций культуры, в отношении которых независимая оценка качества не проводится (далее - Перечень), утверждается Минкультуры России с предварительным обсуждением на общественном совете по проведению независимой оценки качества при Минкультуры России &lt;4&gt;.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Статья 36.1</w:t>
        </w:r>
      </w:hyperlink>
      <w:r>
        <w:t xml:space="preserve"> Основ законодательства о культуре.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ind w:firstLine="540"/>
        <w:jc w:val="both"/>
      </w:pPr>
      <w:r>
        <w:t>2.6. Органам государственной власти субъектов Российской Федерации в сфере культуры с учетом информации, поступившей от органов местного самоуправления, рекомендуется формировать обоснованные предложения для включения в Перечень не позже 1 марта года проведения независимой оценки и направлять их в Минкультуры России.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Объективными причинами включения организаций в Перечень могут служить следующие обстоятельства: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организация закрыта или закрывается на капитальный ремонт, и доступ в нее в течение года не представляется возможным;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организация не оказывает услуги, предусмотренные показателями, характеризующими общие критерии оценки качества условий оказания услуг организациями культуры;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организация осуществляет исключительно гастрольную деятельность, не имеет собственного помещения для проведения каких-либо мероприятий или арендует его у иной организации;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организация ликвидирована, реорганизована либо находится в стадии указанных процедур.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2.7. Объем выборочной совокупности респондентов (численность получателей услуг, подлежащих опросу)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года, предшествующего году проведения независимой оценки.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категорий, в зависимости от количества получателей услуг, что позволит для каждой организации определить необходимое количество собираемых анкет:</w:t>
      </w:r>
    </w:p>
    <w:p w:rsidR="00740E67" w:rsidRDefault="00740E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66"/>
        <w:gridCol w:w="4166"/>
      </w:tblGrid>
      <w:tr w:rsidR="00740E67">
        <w:tc>
          <w:tcPr>
            <w:tcW w:w="737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66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Количество получателей услуг</w:t>
            </w:r>
          </w:p>
        </w:tc>
        <w:tc>
          <w:tcPr>
            <w:tcW w:w="4166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Количество анкет в год</w:t>
            </w:r>
          </w:p>
        </w:tc>
      </w:tr>
      <w:tr w:rsidR="00740E67">
        <w:tc>
          <w:tcPr>
            <w:tcW w:w="737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166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менее 1 000 человек в год</w:t>
            </w:r>
          </w:p>
        </w:tc>
        <w:tc>
          <w:tcPr>
            <w:tcW w:w="4166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740E67">
        <w:tc>
          <w:tcPr>
            <w:tcW w:w="737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166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от 1 000 до 5 000 человек в год</w:t>
            </w:r>
          </w:p>
        </w:tc>
        <w:tc>
          <w:tcPr>
            <w:tcW w:w="4166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не менее 100 и не более 600 &lt;5&gt;</w:t>
            </w:r>
          </w:p>
        </w:tc>
      </w:tr>
      <w:tr w:rsidR="00740E67">
        <w:tc>
          <w:tcPr>
            <w:tcW w:w="737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166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от 5 000 до 12 000 человек в год</w:t>
            </w:r>
          </w:p>
        </w:tc>
        <w:tc>
          <w:tcPr>
            <w:tcW w:w="4166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не менее 150 и не более 600</w:t>
            </w:r>
          </w:p>
        </w:tc>
      </w:tr>
      <w:tr w:rsidR="00740E67">
        <w:tc>
          <w:tcPr>
            <w:tcW w:w="737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166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от 12 000 до 50 000 человек в год</w:t>
            </w:r>
          </w:p>
        </w:tc>
        <w:tc>
          <w:tcPr>
            <w:tcW w:w="4166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не менее 450 и не более 600</w:t>
            </w:r>
          </w:p>
        </w:tc>
      </w:tr>
      <w:tr w:rsidR="00740E67">
        <w:tc>
          <w:tcPr>
            <w:tcW w:w="737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166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более 50 000 человек в год</w:t>
            </w:r>
          </w:p>
        </w:tc>
        <w:tc>
          <w:tcPr>
            <w:tcW w:w="4166" w:type="dxa"/>
            <w:vAlign w:val="center"/>
          </w:tcPr>
          <w:p w:rsidR="00740E67" w:rsidRDefault="00740E67">
            <w:pPr>
              <w:pStyle w:val="ConsPlusNormal"/>
              <w:jc w:val="center"/>
            </w:pPr>
            <w:r>
              <w:t>не менее 500 и не более 600</w:t>
            </w:r>
          </w:p>
        </w:tc>
      </w:tr>
    </w:tbl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ind w:firstLine="540"/>
        <w:jc w:val="both"/>
      </w:pPr>
      <w:r>
        <w:t>--------------------------------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&lt;5&gt; Максимальное количество респондентов определено в соответствии с </w:t>
      </w:r>
      <w:hyperlink r:id="rId23">
        <w:r>
          <w:rPr>
            <w:color w:val="0000FF"/>
          </w:rPr>
          <w:t>приказом</w:t>
        </w:r>
      </w:hyperlink>
      <w:r>
        <w:t xml:space="preserve"> Минтруда России N 675н.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Title"/>
        <w:jc w:val="center"/>
        <w:outlineLvl w:val="1"/>
      </w:pPr>
      <w:r>
        <w:t>3. Организация проведения независимой оценки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ind w:firstLine="540"/>
        <w:jc w:val="both"/>
      </w:pPr>
      <w:bookmarkStart w:id="2" w:name="P102"/>
      <w:bookmarkEnd w:id="2"/>
      <w:r>
        <w:t>3.1. В целях проверки организаций культуры в рамках проведения независимой оценки уполномоченные органы заключают с организациями-операторами, осуществляющими сбор, обобщение и анализ информации о качестве условий оказания услуг организациями в сфере культуры (далее - оператор), государственные, муниципальные контракты на выполнение работ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&lt;6&gt;.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&lt;6&gt; </w:t>
      </w:r>
      <w:hyperlink r:id="rId24">
        <w:r>
          <w:rPr>
            <w:color w:val="0000FF"/>
          </w:rPr>
          <w:t>Статья 36.1</w:t>
        </w:r>
      </w:hyperlink>
      <w:r>
        <w:t xml:space="preserve"> Основ законодательства о культуре.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ind w:firstLine="540"/>
        <w:jc w:val="both"/>
      </w:pPr>
      <w:r>
        <w:t xml:space="preserve">3.2. Для предотвращения возможных рисков, связанных с недобросовестным исполнением оператором своих обязанностей, рекомендуется заключать указанные в </w:t>
      </w:r>
      <w:hyperlink w:anchor="P102">
        <w:r>
          <w:rPr>
            <w:color w:val="0000FF"/>
          </w:rPr>
          <w:t>п. 3.1</w:t>
        </w:r>
      </w:hyperlink>
      <w:r>
        <w:t xml:space="preserve"> контракты не позже II квартала года проведения независимой оценки качества, а также детально составлять техническое задание на оказание услуг по сбору и обобщению информации, предусматривая, например, следующее: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фотоотчет о проделанной работе на местах, а также скриншоты страниц проверяемых официальных сайтов уполномоченных органов;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поэтапное согласование проведения процедуры сбора, обобщения и анализа получаемой информации;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ведение актов посещения каждой проверяемой организации;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личный опрос и сбор мнений оператором (запрет на просьбы и требования к сотрудникам организаций культуры самостоятельно заполнять анкеты);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исправление оператором выявленных ошибок, даже если они были обнаружены после окончания срока исполнения контракта;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отчет оператора о проделанных работах перед общественными советами.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3.3. Сбор и обобщение мнения граждан о качестве условий оказания услуг организациями в сфере культуры осуществляются в соответствии с </w:t>
      </w:r>
      <w:hyperlink r:id="rId25">
        <w:r>
          <w:rPr>
            <w:color w:val="0000FF"/>
          </w:rPr>
          <w:t>приказом</w:t>
        </w:r>
      </w:hyperlink>
      <w:r>
        <w:t xml:space="preserve"> Минтруда России N 675н.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Указанный приказ также содержит рекомендуемый образец анкеты для опроса получателей услуг.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3.4. Для сбора и обобщения информации о качестве условий оказания услуг организациями в сфере культуры могут использоваться один или несколько из следующих каналов: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личный опрос;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Интернет-канал уполномоченного органа;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виджет или баннер на сайте организации культуры;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электронная почта (при согласии респондента на обработку его персональных данных);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 телефонный опрос (при согласии респондента на обработку его персональных данных).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При использовании нескольких каналов сбора и обобщения информации формирование итоговых сведений целесообразно осуществлять с учетом информации, полученной из всех источников.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3.5. В случае проверки обособленных подразделений организации культуры (филиалов) рекомендуется результат проверки такой организации высчитывать как среднее арифметическое между результатами, получившимися при проверке всех филиалов. Например, если организация имеет 4 филиала, то общий результат проведения независимой оценки качества (Р) головной организации (О) высчитывается по следующей формуле: Р = (О + Ф</w:t>
      </w:r>
      <w:r>
        <w:rPr>
          <w:vertAlign w:val="superscript"/>
        </w:rPr>
        <w:t>1</w:t>
      </w:r>
      <w:r>
        <w:t xml:space="preserve"> + Ф</w:t>
      </w:r>
      <w:r>
        <w:rPr>
          <w:vertAlign w:val="superscript"/>
        </w:rPr>
        <w:t>2</w:t>
      </w:r>
      <w:r>
        <w:t xml:space="preserve"> + Ф</w:t>
      </w:r>
      <w:r>
        <w:rPr>
          <w:vertAlign w:val="superscript"/>
        </w:rPr>
        <w:t>3</w:t>
      </w:r>
      <w:r>
        <w:t xml:space="preserve"> + Ф</w:t>
      </w:r>
      <w:r>
        <w:rPr>
          <w:vertAlign w:val="superscript"/>
        </w:rPr>
        <w:t>4</w:t>
      </w:r>
      <w:r>
        <w:t>) / 5, где Ф</w:t>
      </w:r>
      <w:r>
        <w:rPr>
          <w:vertAlign w:val="superscript"/>
        </w:rPr>
        <w:t>1</w:t>
      </w:r>
      <w:r>
        <w:t>, Ф</w:t>
      </w:r>
      <w:r>
        <w:rPr>
          <w:vertAlign w:val="superscript"/>
        </w:rPr>
        <w:t>2</w:t>
      </w:r>
      <w:r>
        <w:t>, Ф</w:t>
      </w:r>
      <w:r>
        <w:rPr>
          <w:vertAlign w:val="superscript"/>
        </w:rPr>
        <w:t>3</w:t>
      </w:r>
      <w:r>
        <w:t xml:space="preserve"> и Ф</w:t>
      </w:r>
      <w:r>
        <w:rPr>
          <w:vertAlign w:val="superscript"/>
        </w:rPr>
        <w:t>4</w:t>
      </w:r>
      <w:r>
        <w:t xml:space="preserve"> - результаты независимой оценки качества 1-го, 2-го, 3-го и 4-го филиала соответственно.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3.6. В случае проверки организации культуры, расположенной на территории объекта культурного наследия, в части </w:t>
      </w:r>
      <w:hyperlink r:id="rId26">
        <w:r>
          <w:rPr>
            <w:color w:val="0000FF"/>
          </w:rPr>
          <w:t>показателя</w:t>
        </w:r>
      </w:hyperlink>
      <w:r>
        <w:t xml:space="preserve"> "Оборудование территории, прилегающей к организации, и ее помещений с учетом доступности для инвалидов" критерия "Доступность услуг для инвалидов", утвержденного приказом Минкультуры России N 599, рекомендуется использовать параметры, предусмотренные </w:t>
      </w:r>
      <w:hyperlink r:id="rId27">
        <w:r>
          <w:rPr>
            <w:color w:val="0000FF"/>
          </w:rPr>
          <w:t>пунктом 8</w:t>
        </w:r>
      </w:hyperlink>
      <w:r>
        <w:t xml:space="preserve"> приказа Минкультуры России N 2834.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3.7. При проверке организации культуры в части </w:t>
      </w:r>
      <w:hyperlink r:id="rId28">
        <w:r>
          <w:rPr>
            <w:color w:val="0000FF"/>
          </w:rPr>
          <w:t>показателя</w:t>
        </w:r>
      </w:hyperlink>
      <w:r>
        <w:t xml:space="preserve"> "Доля получателей услуг, удовлетворенных доступностью услуг для инвалидов" критерия "Доступность услуг для инвалидов", утвержденного приказом Минкультуры России N 599, в случае объективного отсутствия необходимого для выборочной совокупности количества получателей услуг - инвалидов, рекомендуется применять среднее арифметическое значение </w:t>
      </w:r>
      <w:hyperlink r:id="rId29">
        <w:r>
          <w:rPr>
            <w:color w:val="0000FF"/>
          </w:rPr>
          <w:t>показателей 3.1</w:t>
        </w:r>
      </w:hyperlink>
      <w:r>
        <w:t xml:space="preserve"> и </w:t>
      </w:r>
      <w:hyperlink r:id="rId30">
        <w:r>
          <w:rPr>
            <w:color w:val="0000FF"/>
          </w:rPr>
          <w:t>3.2</w:t>
        </w:r>
      </w:hyperlink>
      <w:r>
        <w:t xml:space="preserve"> ("Оборудование территории, прилегающей к организации, и ее помещений с учетом доступности для инвалидов" и "Обеспечение в организации условий доступности, позволяющих инвалидам получать услуги наравне с другими").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Title"/>
        <w:jc w:val="center"/>
        <w:outlineLvl w:val="1"/>
      </w:pPr>
      <w:r>
        <w:t>4. Результаты независимой оценки качества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ind w:firstLine="540"/>
        <w:jc w:val="both"/>
      </w:pPr>
      <w:r>
        <w:t>4.1. Заключительная стадия проведения независимой оценки качества включает в себя следующие последовательные этапы &lt;7&gt;: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&lt;7&gt; </w:t>
      </w:r>
      <w:hyperlink r:id="rId31">
        <w:r>
          <w:rPr>
            <w:color w:val="0000FF"/>
          </w:rPr>
          <w:t>Статья 11</w:t>
        </w:r>
      </w:hyperlink>
      <w:r>
        <w:t xml:space="preserve"> Федерального закона N 392-ФЗ.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ind w:firstLine="540"/>
        <w:jc w:val="both"/>
      </w:pPr>
      <w:r>
        <w:t>4.1.1. Отчет о выполненных работах представляется Оператором в уполномоченные органы, с которыми заключен государственный, муниципальный контракт на выполнение работ.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4.1.2. После принятия отчет оператора направляется уполномоченными органами в созданные при них Общественные советы.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4.1.3. Общественные советы в течение одного месяца со дня получения отчета оператора формируют на его основе результаты независимой оценки качества, разрабатывают предложения по улучшению деятельности организаций культуры (далее - решение Общественного совета) и направляют их в соответствующие уполномоченные органы.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4.1.4. Уполномоченные органы в течение одного месяца со дня получения решения Общественного совета доводят его до государственных органов исполнительной власти, органов местного самоуправления, в ведении которых находятся организации культуры, в отношении которых проводилась независимая оценка качества, а также до руководителей этих организаций.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>4.1.5. Уполномоченные органы в течение первого квартала года, следующего за отчетным, осуществляют подготовку и утверждение планов организаций в сфере культуры по устранению недостатков, выявленных в ходе независимой оценки качества (далее - Планы).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4.2. Информация об уполномоченных органах, сведения о должностных лицах, данные об общественных советах и операторах, перечни организаций, результаты проведения независимой оценки, Планы, публичные отчеты высших должностных лиц субъектов Российской Федерации, иная информация и документы по вопросам независимой оценки размещаются на сайте bus.gov.ru в соответствии с </w:t>
      </w:r>
      <w:hyperlink r:id="rId32">
        <w:r>
          <w:rPr>
            <w:color w:val="0000FF"/>
          </w:rPr>
          <w:t>приказом</w:t>
        </w:r>
      </w:hyperlink>
      <w:r>
        <w:t xml:space="preserve"> Минфина России N 66н.</w:t>
      </w:r>
    </w:p>
    <w:p w:rsidR="00740E67" w:rsidRDefault="00740E67">
      <w:pPr>
        <w:pStyle w:val="ConsPlusNormal"/>
        <w:spacing w:before="280"/>
        <w:ind w:firstLine="540"/>
        <w:jc w:val="both"/>
      </w:pPr>
      <w:r>
        <w:t xml:space="preserve">Перечисленные данные также следует публиковать на официальных сайтах уполномоченных органов. Информация, размещаемая на официальных сайтах организаций культуры, указана в </w:t>
      </w:r>
      <w:hyperlink r:id="rId33">
        <w:r>
          <w:rPr>
            <w:color w:val="0000FF"/>
          </w:rPr>
          <w:t>статье 36.2</w:t>
        </w:r>
      </w:hyperlink>
      <w:r>
        <w:t xml:space="preserve"> Основ законодательства о культуре.</w:t>
      </w: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jc w:val="both"/>
      </w:pPr>
    </w:p>
    <w:p w:rsidR="00740E67" w:rsidRDefault="00740E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A9C" w:rsidRDefault="00695A9C"/>
    <w:sectPr w:rsidR="00695A9C" w:rsidSect="0009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67"/>
    <w:rsid w:val="001F57B9"/>
    <w:rsid w:val="00695A9C"/>
    <w:rsid w:val="0074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DBC56C-B4B3-43FA-87DC-4828ED03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B9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E67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8"/>
      <w:lang w:eastAsia="ru-RU"/>
    </w:rPr>
  </w:style>
  <w:style w:type="paragraph" w:customStyle="1" w:styleId="ConsPlusTitle">
    <w:name w:val="ConsPlusTitle"/>
    <w:rsid w:val="00740E67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b/>
      <w:sz w:val="28"/>
      <w:lang w:eastAsia="ru-RU"/>
    </w:rPr>
  </w:style>
  <w:style w:type="paragraph" w:customStyle="1" w:styleId="ConsPlusTitlePage">
    <w:name w:val="ConsPlusTitlePage"/>
    <w:rsid w:val="00740E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445&amp;dst=156" TargetMode="External"/><Relationship Id="rId13" Type="http://schemas.openxmlformats.org/officeDocument/2006/relationships/hyperlink" Target="https://login.consultant.ru/link/?req=doc&amp;base=LAW&amp;n=179390&amp;dst=100010" TargetMode="External"/><Relationship Id="rId18" Type="http://schemas.openxmlformats.org/officeDocument/2006/relationships/hyperlink" Target="https://login.consultant.ru/link/?req=doc&amp;base=LAW&amp;n=330361" TargetMode="External"/><Relationship Id="rId26" Type="http://schemas.openxmlformats.org/officeDocument/2006/relationships/hyperlink" Target="https://login.consultant.ru/link/?req=doc&amp;base=LAW&amp;n=298376&amp;dst=1000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95077&amp;dst=10001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0445&amp;dst=197" TargetMode="External"/><Relationship Id="rId12" Type="http://schemas.openxmlformats.org/officeDocument/2006/relationships/hyperlink" Target="https://login.consultant.ru/link/?req=doc&amp;base=LAW&amp;n=299563" TargetMode="External"/><Relationship Id="rId17" Type="http://schemas.openxmlformats.org/officeDocument/2006/relationships/hyperlink" Target="https://login.consultant.ru/link/?req=doc&amp;base=LAW&amp;n=308927" TargetMode="External"/><Relationship Id="rId25" Type="http://schemas.openxmlformats.org/officeDocument/2006/relationships/hyperlink" Target="https://login.consultant.ru/link/?req=doc&amp;base=LAW&amp;n=465238" TargetMode="External"/><Relationship Id="rId33" Type="http://schemas.openxmlformats.org/officeDocument/2006/relationships/hyperlink" Target="https://login.consultant.ru/link/?req=doc&amp;base=LAW&amp;n=450445&amp;dst=1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238" TargetMode="External"/><Relationship Id="rId20" Type="http://schemas.openxmlformats.org/officeDocument/2006/relationships/hyperlink" Target="https://login.consultant.ru/link/?req=doc&amp;base=LAW&amp;n=330361&amp;dst=100022" TargetMode="External"/><Relationship Id="rId29" Type="http://schemas.openxmlformats.org/officeDocument/2006/relationships/hyperlink" Target="https://login.consultant.ru/link/?req=doc&amp;base=LAW&amp;n=298376&amp;dst=1000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445&amp;dst=156" TargetMode="External"/><Relationship Id="rId11" Type="http://schemas.openxmlformats.org/officeDocument/2006/relationships/hyperlink" Target="https://login.consultant.ru/link/?req=doc&amp;base=LAW&amp;n=420801" TargetMode="External"/><Relationship Id="rId24" Type="http://schemas.openxmlformats.org/officeDocument/2006/relationships/hyperlink" Target="https://login.consultant.ru/link/?req=doc&amp;base=LAW&amp;n=450445&amp;dst=197" TargetMode="External"/><Relationship Id="rId32" Type="http://schemas.openxmlformats.org/officeDocument/2006/relationships/hyperlink" Target="https://login.consultant.ru/link/?req=doc&amp;base=LAW&amp;n=330361" TargetMode="External"/><Relationship Id="rId5" Type="http://schemas.openxmlformats.org/officeDocument/2006/relationships/hyperlink" Target="https://login.consultant.ru/link/?req=doc&amp;base=LAW&amp;n=450445&amp;dst=197" TargetMode="External"/><Relationship Id="rId15" Type="http://schemas.openxmlformats.org/officeDocument/2006/relationships/hyperlink" Target="https://login.consultant.ru/link/?req=doc&amp;base=LAW&amp;n=190538" TargetMode="External"/><Relationship Id="rId23" Type="http://schemas.openxmlformats.org/officeDocument/2006/relationships/hyperlink" Target="https://login.consultant.ru/link/?req=doc&amp;base=LAW&amp;n=465238&amp;dst=100016" TargetMode="External"/><Relationship Id="rId28" Type="http://schemas.openxmlformats.org/officeDocument/2006/relationships/hyperlink" Target="https://login.consultant.ru/link/?req=doc&amp;base=LAW&amp;n=298376&amp;dst=100068" TargetMode="External"/><Relationship Id="rId10" Type="http://schemas.openxmlformats.org/officeDocument/2006/relationships/hyperlink" Target="https://login.consultant.ru/link/?req=doc&amp;base=LAW&amp;n=450445&amp;dst=197" TargetMode="External"/><Relationship Id="rId19" Type="http://schemas.openxmlformats.org/officeDocument/2006/relationships/hyperlink" Target="https://login.consultant.ru/link/?req=doc&amp;base=LAW&amp;n=450445&amp;dst=197" TargetMode="External"/><Relationship Id="rId31" Type="http://schemas.openxmlformats.org/officeDocument/2006/relationships/hyperlink" Target="https://login.consultant.ru/link/?req=doc&amp;base=LAW&amp;n=420801&amp;dst=10025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9645&amp;dst=100052" TargetMode="External"/><Relationship Id="rId14" Type="http://schemas.openxmlformats.org/officeDocument/2006/relationships/hyperlink" Target="https://login.consultant.ru/link/?req=doc&amp;base=LAW&amp;n=298376&amp;dst=100012" TargetMode="External"/><Relationship Id="rId22" Type="http://schemas.openxmlformats.org/officeDocument/2006/relationships/hyperlink" Target="https://login.consultant.ru/link/?req=doc&amp;base=LAW&amp;n=450445&amp;dst=204" TargetMode="External"/><Relationship Id="rId27" Type="http://schemas.openxmlformats.org/officeDocument/2006/relationships/hyperlink" Target="https://login.consultant.ru/link/?req=doc&amp;base=LAW&amp;n=190538&amp;dst=100027" TargetMode="External"/><Relationship Id="rId30" Type="http://schemas.openxmlformats.org/officeDocument/2006/relationships/hyperlink" Target="https://login.consultant.ru/link/?req=doc&amp;base=LAW&amp;n=298376&amp;dst=10006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Водянникова Лариса Сергеевна</dc:creator>
  <cp:keywords/>
  <dc:description/>
  <cp:lastModifiedBy/>
  <cp:revision>1</cp:revision>
  <dcterms:created xsi:type="dcterms:W3CDTF">2024-03-21T05:41:00Z</dcterms:created>
</cp:coreProperties>
</file>