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430"/>
        <w:gridCol w:w="2579"/>
        <w:gridCol w:w="287"/>
        <w:gridCol w:w="716"/>
        <w:gridCol w:w="287"/>
        <w:gridCol w:w="143"/>
        <w:gridCol w:w="143"/>
        <w:gridCol w:w="430"/>
        <w:gridCol w:w="573"/>
        <w:gridCol w:w="143"/>
        <w:gridCol w:w="717"/>
        <w:gridCol w:w="430"/>
        <w:gridCol w:w="286"/>
        <w:gridCol w:w="717"/>
        <w:gridCol w:w="143"/>
        <w:gridCol w:w="573"/>
        <w:gridCol w:w="143"/>
        <w:gridCol w:w="430"/>
        <w:gridCol w:w="1146"/>
        <w:gridCol w:w="1003"/>
        <w:gridCol w:w="144"/>
        <w:gridCol w:w="573"/>
        <w:gridCol w:w="573"/>
        <w:gridCol w:w="573"/>
        <w:gridCol w:w="573"/>
        <w:gridCol w:w="143"/>
        <w:gridCol w:w="860"/>
        <w:gridCol w:w="287"/>
      </w:tblGrid>
      <w:tr w:rsidR="00B128B5">
        <w:trPr>
          <w:trHeight w:hRule="exact" w:val="1003"/>
        </w:trPr>
        <w:tc>
          <w:tcPr>
            <w:tcW w:w="15618" w:type="dxa"/>
            <w:gridSpan w:val="31"/>
          </w:tcPr>
          <w:p w:rsidR="00B128B5" w:rsidRDefault="00B128B5"/>
        </w:tc>
      </w:tr>
      <w:tr w:rsidR="00B128B5">
        <w:trPr>
          <w:trHeight w:hRule="exact" w:val="387"/>
        </w:trPr>
        <w:tc>
          <w:tcPr>
            <w:tcW w:w="15618" w:type="dxa"/>
            <w:gridSpan w:val="31"/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B128B5">
        <w:trPr>
          <w:trHeight w:hRule="exact" w:val="43"/>
        </w:trPr>
        <w:tc>
          <w:tcPr>
            <w:tcW w:w="15618" w:type="dxa"/>
            <w:gridSpan w:val="31"/>
          </w:tcPr>
          <w:p w:rsidR="00B128B5" w:rsidRDefault="00B128B5"/>
        </w:tc>
      </w:tr>
      <w:tr w:rsidR="00B128B5">
        <w:trPr>
          <w:trHeight w:hRule="exact" w:val="387"/>
        </w:trPr>
        <w:tc>
          <w:tcPr>
            <w:tcW w:w="15618" w:type="dxa"/>
            <w:gridSpan w:val="31"/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B128B5">
        <w:trPr>
          <w:trHeight w:hRule="exact" w:val="43"/>
        </w:trPr>
        <w:tc>
          <w:tcPr>
            <w:tcW w:w="15618" w:type="dxa"/>
            <w:gridSpan w:val="31"/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15618" w:type="dxa"/>
            <w:gridSpan w:val="31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Обеспечение качественно нового уровня развития инфраструктуры культуры («Культурная среда») (Саратовская область)</w:t>
            </w:r>
          </w:p>
        </w:tc>
      </w:tr>
      <w:tr w:rsidR="00B128B5">
        <w:trPr>
          <w:trHeight w:hRule="exact" w:val="716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B128B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B128B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Культурная среда (Саратовская область)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B128B5">
        <w:trPr>
          <w:trHeight w:hRule="exact" w:val="717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Гречушкина В.В.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Саратовской области</w:t>
            </w:r>
          </w:p>
        </w:tc>
      </w:tr>
      <w:tr w:rsidR="00B128B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Гаранина Т.А.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B128B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 w:rsidP="00B142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В.А.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аместитель министра</w:t>
            </w:r>
          </w:p>
        </w:tc>
      </w:tr>
      <w:tr w:rsidR="00B128B5">
        <w:trPr>
          <w:trHeight w:hRule="exact" w:val="716"/>
        </w:trPr>
        <w:tc>
          <w:tcPr>
            <w:tcW w:w="458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Саратовской области "Культура Саратовской области"</w:t>
            </w:r>
          </w:p>
        </w:tc>
      </w:tr>
      <w:tr w:rsidR="00B128B5">
        <w:trPr>
          <w:trHeight w:hRule="exact" w:val="717"/>
        </w:trPr>
        <w:tc>
          <w:tcPr>
            <w:tcW w:w="458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"Укрепление материально-технической базы и обеспечение деятельности учреждений в сфере культуры"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31"/>
          </w:tcPr>
          <w:p w:rsidR="00B128B5" w:rsidRDefault="00B128B5"/>
        </w:tc>
      </w:tr>
      <w:tr w:rsidR="00B128B5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B128B5" w:rsidRDefault="003F2D0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27"/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128B5">
        <w:trPr>
          <w:trHeight w:hRule="exact" w:val="286"/>
        </w:trPr>
        <w:tc>
          <w:tcPr>
            <w:tcW w:w="14471" w:type="dxa"/>
            <w:gridSpan w:val="29"/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B128B5" w:rsidRDefault="003F2D0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128B5">
        <w:trPr>
          <w:trHeight w:hRule="exact" w:val="144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128B5">
        <w:trPr>
          <w:trHeight w:hRule="exact" w:val="716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населения. (Саратовская область)</w:t>
            </w:r>
          </w:p>
        </w:tc>
      </w:tr>
      <w:tr w:rsidR="00B128B5">
        <w:trPr>
          <w:trHeight w:hRule="exact" w:val="57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ение</w:t>
            </w:r>
          </w:p>
        </w:tc>
        <w:tc>
          <w:tcPr>
            <w:tcW w:w="687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параметра(да/нет)</w:t>
            </w:r>
          </w:p>
        </w:tc>
      </w:tr>
      <w:tr w:rsidR="00B128B5">
        <w:trPr>
          <w:trHeight w:hRule="exact" w:val="57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43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444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Отсутствует показатель федерального проекта</w:t>
            </w:r>
          </w:p>
        </w:tc>
      </w:tr>
      <w:tr w:rsidR="00B128B5">
        <w:trPr>
          <w:trHeight w:hRule="exact" w:val="97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на 15 % числа посещений учреждений культуры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Посещение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11 925,3100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11 985,6400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12 309,7800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12 554,4400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12 914,1300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13 142,0700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13 714,1000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</w:tr>
      <w:tr w:rsidR="00B128B5">
        <w:trPr>
          <w:trHeight w:hRule="exact" w:val="444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созданных (реконструированных) и капитально отремонтированных объектов организации культуры (ед.) (нарастающим итогом)</w:t>
            </w:r>
          </w:p>
        </w:tc>
      </w:tr>
      <w:tr w:rsidR="00B128B5">
        <w:trPr>
          <w:trHeight w:hRule="exact" w:val="176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созданных (реконструированных) и капитально отремонтированных объектов организации культуры (ед.) (нарастающим итогом)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</w:tr>
      <w:tr w:rsidR="00B128B5">
        <w:trPr>
          <w:trHeight w:hRule="exact" w:val="444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</w:tr>
      <w:tr w:rsidR="00B128B5">
        <w:trPr>
          <w:trHeight w:hRule="exact" w:val="124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31"/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B128B5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128B5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Задача национального проекта (справочно из паспорта федерального проекта): 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также выставочные пространства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</w:tr>
      <w:tr w:rsidR="00B128B5">
        <w:trPr>
          <w:trHeight w:hRule="exact" w:val="2078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центры культурного развития в городах с числом жителей до 300 000 человек 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Центры культурного развития – этомногофункциональное культурное пространство с концертным залом,музейно-выставочным пространством, библиотекой, помещениями для занятийтворчеством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кинозалами для детей и взрослых, сервисными зонами (кафе,сувенирные киоски)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Количество зрительских мест будет увеличено на 500 единиц. Качествообслуживания населения выйдет на новый уровень.</w:t>
            </w:r>
          </w:p>
          <w:p w:rsidR="00B128B5" w:rsidRDefault="00B128B5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Строительство (реконструкция, техническое перевооружение, приобретение) объекта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недвижимого имущества</w:t>
            </w:r>
          </w:p>
          <w:p w:rsidR="00B128B5" w:rsidRDefault="00B128B5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Нет</w:t>
            </w:r>
          </w:p>
          <w:p w:rsidR="00B128B5" w:rsidRDefault="00B128B5"/>
        </w:tc>
      </w:tr>
      <w:tr w:rsidR="00B128B5">
        <w:trPr>
          <w:trHeight w:hRule="exact" w:val="206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Задача национального проекта (справочно из паспорта федерального проекта): Обеспечить детские музыкальные, художественные, хореографические школы, училища и школы искусств необходимыми инструментами, оборудованием и материалами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</w:tr>
      <w:tr w:rsidR="00B128B5">
        <w:trPr>
          <w:trHeight w:hRule="exact" w:val="273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​Созданы условия для повышения качества художественного образования в 1 800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ательных учреждениях отрасли культуры путем оснащения музыкальными инструментами, оборудованием и учебными материалами, ежегодно по 300 </w:t>
            </w:r>
          </w:p>
          <w:p w:rsidR="00B128B5" w:rsidRDefault="00B128B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B128B5" w:rsidRDefault="00B128B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128B5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учебными материалами 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образовательных учреждений.Оснащение каждого образовательного учреждения в сфере культуры зависит от реализации тех или иных образовательных программ, в связи с чем предусматривается согласование с Минкультуры России перечня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образовательных учреждений и пе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речней музыкальных инструментов, оборудования и материалов, которые будут приобретаться субъектами Российской Федерации в рамках проекта.В числе 1 800 образовательных учреждений отрасли культуры: 1 700 детских музыкальных, художественных, хореографических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 и школ искусств (34% от общего количества детских школ искусств по видам искусств)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есса для одаренных детей, а также увеличение числа учащихся в образовательных учреждениях </w:t>
            </w:r>
          </w:p>
          <w:p w:rsidR="00B128B5" w:rsidRDefault="00B128B5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86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170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170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128B5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176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отрасли культурына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  <w:p w:rsidR="00B128B5" w:rsidRDefault="00B128B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128B5">
        <w:trPr>
          <w:trHeight w:hRule="exact" w:val="574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Задача национального проекта (справочно из паспорта федерального проекта): 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</w:tr>
      <w:tr w:rsidR="00B128B5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Переоснащены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ные библиотеки по модельному стандарту 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модельным стандартом созданы интеллектуальные центры,оснащенные скоростным Интернетом, доступом к современным отечественныминформационным ресурсам научного и художественного сод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ержания, к оцифрованнымресурсам периодической печати:Созданы точки доступа к НЭБу и электронной библиотеке диссертаций,комплектование мультимедийными ресурсами, а также организацию современногокомфортного библиотечного пространства. В составе библиотечных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фондов предусмотрены носители информации,изготовленные в форматах, доступных для инвалидов по зрению. Созданы дискуссионные клубы, консультационные пункты и лектории для всехвозрастных групп. Повышена эффективностьих работы и посещаемость не менее, чем в 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раза.</w:t>
            </w:r>
          </w:p>
          <w:p w:rsidR="00B128B5" w:rsidRDefault="00B128B5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B128B5" w:rsidRDefault="00B128B5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128B5" w:rsidRDefault="00B128B5"/>
        </w:tc>
      </w:tr>
      <w:tr w:rsidR="00B128B5">
        <w:trPr>
          <w:trHeight w:hRule="exact" w:val="262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2607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128B5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29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Приобретены передвижные многофункциональные культурные центры (автоклубы) для обслуживания сельского населения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Расширение географии оказания услуг населениюсельской местности. Доступность услуг населению, проживающих в труднодоступныхрайонах. Увеличение форм и методов обслуживания населения сельской местности.</w:t>
            </w:r>
          </w:p>
          <w:p w:rsidR="00B128B5" w:rsidRDefault="00B128B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B128B5" w:rsidRDefault="00B128B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128B5" w:rsidRDefault="00B128B5"/>
        </w:tc>
      </w:tr>
      <w:tr w:rsidR="00B128B5">
        <w:trPr>
          <w:trHeight w:hRule="exact" w:val="2550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:rsidR="00B128B5" w:rsidRDefault="00B128B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128B5" w:rsidRDefault="00B128B5"/>
        </w:tc>
      </w:tr>
      <w:tr w:rsidR="00B128B5">
        <w:trPr>
          <w:trHeight w:hRule="exact" w:val="716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Модернизировать региональные и муниципальные театры юного зрителя и кукольные театры путем их реконструкции и капитального ремонта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</w:tr>
      <w:tr w:rsidR="00B128B5">
        <w:trPr>
          <w:trHeight w:hRule="exact" w:val="2551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Реконструированы и (или) капитально отремонтированы региональные и (или) муниципальные театры юного зрителя и театры кукол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​Будет обеспеченокачество театрального обслуживаниязрителей за счет обновления интерьеров и зрительного зала,современного оборудования зала.</w:t>
            </w:r>
          </w:p>
          <w:p w:rsidR="00B128B5" w:rsidRDefault="00B128B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:rsidR="00B128B5" w:rsidRDefault="00B128B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B128B5">
        <w:trPr>
          <w:trHeight w:hRule="exact" w:val="429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574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128B5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оборудованием кинозалы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B128B5" w:rsidRDefault="00B128B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128B5" w:rsidRDefault="00B128B5"/>
        </w:tc>
      </w:tr>
      <w:tr w:rsidR="00B128B5">
        <w:trPr>
          <w:trHeight w:hRule="exact" w:val="1490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условий для реконструкции и капитального ремонта театров юного зрителя и театров кукол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B128B5" w:rsidRDefault="00B128B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128B5" w:rsidRDefault="00B128B5"/>
        </w:tc>
      </w:tr>
      <w:tr w:rsidR="00B128B5">
        <w:trPr>
          <w:trHeight w:hRule="exact" w:val="97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модернизации библиотек по модельному стандарту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B128B5" w:rsidRDefault="00B128B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128B5" w:rsidRDefault="00B128B5"/>
        </w:tc>
      </w:tr>
    </w:tbl>
    <w:p w:rsidR="00B128B5" w:rsidRDefault="00B128B5">
      <w:pPr>
        <w:sectPr w:rsidR="00B128B5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143"/>
        <w:gridCol w:w="3152"/>
        <w:gridCol w:w="1290"/>
        <w:gridCol w:w="1432"/>
        <w:gridCol w:w="287"/>
        <w:gridCol w:w="1146"/>
        <w:gridCol w:w="1433"/>
        <w:gridCol w:w="716"/>
        <w:gridCol w:w="717"/>
        <w:gridCol w:w="1433"/>
        <w:gridCol w:w="716"/>
        <w:gridCol w:w="716"/>
        <w:gridCol w:w="1577"/>
        <w:gridCol w:w="26"/>
      </w:tblGrid>
      <w:tr w:rsidR="00B128B5">
        <w:trPr>
          <w:trHeight w:hRule="exact" w:val="430"/>
        </w:trPr>
        <w:tc>
          <w:tcPr>
            <w:tcW w:w="15618" w:type="dxa"/>
            <w:gridSpan w:val="15"/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B128B5" w:rsidRDefault="003F2D0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3"/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B128B5" w:rsidRDefault="00B128B5"/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B128B5" w:rsidRDefault="00B128B5"/>
        </w:tc>
        <w:tc>
          <w:tcPr>
            <w:tcW w:w="146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условий для реконструкции и капитального ремонта театров юного зрителя и театров кукол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18 548,52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18 548,52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18 548,52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18 548,52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40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8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7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6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13 346,90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13 346,90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13 346,90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13 346,90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5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8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8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37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B128B5" w:rsidRDefault="00B128B5"/>
        </w:tc>
        <w:tc>
          <w:tcPr>
            <w:tcW w:w="146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центры культурного развития в городах с числом жителей до 300 000 человек 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50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8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7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301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B128B5" w:rsidRDefault="00B128B5"/>
        </w:tc>
        <w:tc>
          <w:tcPr>
            <w:tcW w:w="146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5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7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57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8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73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B128B5" w:rsidRDefault="00B128B5"/>
        </w:tc>
        <w:tc>
          <w:tcPr>
            <w:tcW w:w="146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5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55 807,33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75 998,20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36 557,98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168 363,51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55 805,28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75 998,20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36 557,98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168 361,46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57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55 805,28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55 805,28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8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8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55 807,33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55 807,33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B128B5" w:rsidRDefault="00B128B5"/>
        </w:tc>
        <w:tc>
          <w:tcPr>
            <w:tcW w:w="146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Приобретены передвижные многофункциональные культурные центры (автоклубы) для обслуживания сельского населения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19 035,82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19 035,82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19 035,82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19 035,82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57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19 035,82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19 035,82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8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01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19 035,82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19 035,82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  <w:p w:rsidR="00B128B5" w:rsidRDefault="00B128B5"/>
        </w:tc>
        <w:tc>
          <w:tcPr>
            <w:tcW w:w="146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Переоснащены муниципальные библиотеки по модельному стандарту 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5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3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5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57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8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01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  <w:p w:rsidR="00B128B5" w:rsidRDefault="00B128B5"/>
        </w:tc>
        <w:tc>
          <w:tcPr>
            <w:tcW w:w="146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Реконструированы и (или) капитально отремонтированы региональные и (или) муниципальные театры юного зрителя и театры кукол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61 224,49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112 359,60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112 359,60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285 943,69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61 224,49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112 359,60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112 359,60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285 943,69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67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57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8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1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222 963,05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188 357,80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148 917,58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560 238,43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консолидированный бюджет субъекта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222 963,05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188 357,80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148 917,58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560 238,43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222 961,01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188 357,80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148 917,58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560 236,39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129 843,14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129 843,14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290"/>
        </w:trPr>
        <w:tc>
          <w:tcPr>
            <w:tcW w:w="544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бюджетам территориальных государственных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фондов(бюджетам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544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143"/>
        </w:trPr>
        <w:tc>
          <w:tcPr>
            <w:tcW w:w="544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B128B5" w:rsidRDefault="003F2D0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3"/>
            <w:shd w:val="clear" w:color="auto" w:fill="auto"/>
            <w:vAlign w:val="center"/>
          </w:tcPr>
          <w:p w:rsidR="00B128B5" w:rsidRDefault="00B128B5"/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B128B5" w:rsidRDefault="00B128B5"/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Гаранина Т.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Оснащены оборудованием кинозалы</w:t>
            </w:r>
          </w:p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культуры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</w:p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14" w:type="dxa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Реконструированы и (или) капитально отремонтированы региональные и (или) муниципальные театры юного зрителя и театры кукол</w:t>
            </w:r>
          </w:p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Построены центры культурного развития в городах с числом жителей до 300 000 человек </w:t>
            </w:r>
          </w:p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Приобретены передвижные многофункциональные культурные центры (автоклубы) для обслуживания сельского населения</w:t>
            </w:r>
          </w:p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Переоснащены муниципальные библиотеки по модельному стандарту </w:t>
            </w:r>
          </w:p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условий для реконструкции и капитального ремонта театров юного зрителя и театров кукол</w:t>
            </w:r>
          </w:p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условий для модернизации библиотек по модельному стандарту</w:t>
            </w:r>
          </w:p>
          <w:p w:rsidR="00B128B5" w:rsidRDefault="00B128B5"/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128B5" w:rsidRDefault="00B128B5"/>
        </w:tc>
      </w:tr>
    </w:tbl>
    <w:p w:rsidR="00B128B5" w:rsidRDefault="00B128B5">
      <w:pPr>
        <w:sectPr w:rsidR="00B128B5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009"/>
        <w:gridCol w:w="1432"/>
        <w:gridCol w:w="860"/>
        <w:gridCol w:w="1290"/>
        <w:gridCol w:w="1289"/>
        <w:gridCol w:w="1003"/>
        <w:gridCol w:w="1290"/>
        <w:gridCol w:w="429"/>
        <w:gridCol w:w="1003"/>
        <w:gridCol w:w="3153"/>
      </w:tblGrid>
      <w:tr w:rsidR="00B128B5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целевых и дополнительных показателей национального проекта</w:t>
            </w:r>
          </w:p>
        </w:tc>
      </w:tr>
      <w:tr w:rsidR="00B128B5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03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и реквизиты документа, которым утверждена методика расчета показателя</w:t>
            </w:r>
          </w:p>
        </w:tc>
      </w:tr>
      <w:tr w:rsidR="00B128B5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Утвердивший орган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Номер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</w:t>
            </w:r>
          </w:p>
        </w:tc>
      </w:tr>
      <w:tr w:rsidR="00B128B5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B128B5">
        <w:trPr>
          <w:trHeight w:hRule="exact" w:val="157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показатель: Увеличение на 15 % числа посещений учреждений культуры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Посещение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128B5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128B5">
        <w:trPr>
          <w:trHeight w:hRule="exact" w:val="203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Количество созданных (реконструированных) и капитально отремонтированных объектов организации культуры (ед.) (нарастающим итогом)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B128B5">
        <w:trPr>
          <w:trHeight w:hRule="exact" w:val="559"/>
        </w:trPr>
        <w:tc>
          <w:tcPr>
            <w:tcW w:w="15618" w:type="dxa"/>
            <w:gridSpan w:val="13"/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B128B5">
        <w:trPr>
          <w:trHeight w:hRule="exact" w:val="573"/>
        </w:trPr>
        <w:tc>
          <w:tcPr>
            <w:tcW w:w="11462" w:type="dxa"/>
            <w:gridSpan w:val="11"/>
          </w:tcPr>
          <w:p w:rsidR="00B128B5" w:rsidRDefault="00B128B5"/>
        </w:tc>
        <w:tc>
          <w:tcPr>
            <w:tcW w:w="4156" w:type="dxa"/>
            <w:gridSpan w:val="2"/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B128B5">
        <w:trPr>
          <w:trHeight w:hRule="exact" w:val="573"/>
        </w:trPr>
        <w:tc>
          <w:tcPr>
            <w:tcW w:w="11462" w:type="dxa"/>
            <w:gridSpan w:val="11"/>
          </w:tcPr>
          <w:p w:rsidR="00B128B5" w:rsidRDefault="00B128B5"/>
        </w:tc>
        <w:tc>
          <w:tcPr>
            <w:tcW w:w="4156" w:type="dxa"/>
            <w:gridSpan w:val="2"/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Культурная среда (Саратовская область)</w:t>
            </w:r>
          </w:p>
        </w:tc>
      </w:tr>
      <w:tr w:rsidR="00B128B5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B128B5" w:rsidRDefault="003F2D0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0"/>
            <w:shd w:val="clear" w:color="auto" w:fill="auto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128B5">
        <w:trPr>
          <w:trHeight w:hRule="exact" w:val="716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"Оснащены оборудованием кинозалы"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"кинозалы модернизированы"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технической готовности объекта"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Федеральным фондом социальной и экономической поддержки отечественной кинематографии заключены соглашения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 Федеральным фондом социальной и экономической поддержки отечественной кинематографии соглашений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аукционы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аукционов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поставлено"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"поставка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Федеральным фондом социальной и экономической поддержки отечественной кинематографии заключены соглашения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 Федеральным фондом социальной и экономической поддержки отечественной кинематографии соглашений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аукционы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аукционов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поставлено"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"поставка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"кинозалы модернизированы"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технической готовности объекта"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Федеральным фондом социальной и экономической поддержки отечественной кинематографии заключены соглашения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 Федеральным фондом социальной и экономической поддержки отечественной кинематографии соглашения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аукционы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аукционов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поставлено"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"поставка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"кинозалы модернизированы"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технической готовности объекта"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Федеральным фондом социальной и экономической поддержки отечественной кинематографии заключены соглашения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 Федеральным фондом социальной и экономической поддержки отечественной кинематографии соглашения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аукционы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аукционов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поставлено"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"поставка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"кинозалы модернизированы"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технической готовности объекта"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Федеральным фондом социальной и экономической поддержки отечественной кинематографии заключены соглашения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 Федеральным фондом социальной и экономической поддержки отечественной кинематографии соглашения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аукционы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аукционов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поставлено"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"поставка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"кинозалы модернизированы"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технической готовности объекта"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Федеральным фондом социальной и экономической поддержки отечественной кинематографии заключены соглашения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49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 Федеральным фондом социальной и экономической поддержки отечественной кинематографии соглашения о получении финансовых средств на модернизацию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аукционы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аукционов на приобретение оборудования для оснащения кинозалов"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поставлено"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"поставка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"кинозалы модернизированы"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технической готовности объекта"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сти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​Созданы условия для повышения качества художественного образования в 1 800 образовательных учреждениях отрасли культуры путем оснащения музыкальными инструментами, оборудованием и учебными материалами, ежегодно по 300 образовательных учреждений.Оснаще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ние каждого образовательного учреждения в сфере культуры зависит от реализации тех или иных образовательных программ, в связи с чем предусматривается согласование с Минкультуры России перечня образовательных учреждений и перечней музыкальных инструментов,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оборудования и материалов, которые будут приобретаться субъектами Российской Федерации в рамках проекта.В числе 1 800 образовательных учреждений отрасли культуры: 1 700 детских </w:t>
            </w:r>
          </w:p>
          <w:p w:rsidR="00B128B5" w:rsidRDefault="00B128B5"/>
        </w:tc>
      </w:tr>
      <w:tr w:rsidR="00B128B5">
        <w:trPr>
          <w:trHeight w:hRule="exact" w:val="16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16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музыкальных, художественных, хореографических школ и школ искусств (34% от общего количества детских школ искусств по видам искусств) и 100 училищ (42% от общего количества училищ), оснащенных музыкальными инструментами, оборудованием, учебными материалами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культурына 10% за счет расширения перечня реализуемых образовательных программ и учебных дисциплин, в том числе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интерактивной направленности.</w:t>
            </w:r>
          </w:p>
          <w:p w:rsidR="00B128B5" w:rsidRDefault="00B128B5"/>
        </w:tc>
      </w:tr>
      <w:tr w:rsidR="00B128B5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"Закупка включена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"Включение закупки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"Внесение сведений о государственном (муниципальном) контракте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распределения межбюджетных трансфертов по муниципальным образованиям"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бюджету Саратовской области межбюджетного трансферта"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"Предоставление отчета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"Закупка включена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"Включение закупки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"Внесение сведений о государственном (муниципальном) контракте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распределения межбюджетных трансфертов по муниципальным образованиям"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бюджету Саратовской области межбюджетного трансферта"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"Предоставление отчета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"Закупка включена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"Включение закупки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"Внесение сведений о государственном (муниципальном) контракте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распределения межбюджетных трансфертов по муниципальным образованиям"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бюджету Саратовской области межбюджетного трансферта"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"Предоставление отчета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"Построены (реконструированы) и (или) капитально отремонтированы культурно-досуговые учреждения в сельской местности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11.12.2018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положительного заключения по результатам государственной экспертизы"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11.12.2018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разрешения на строительство (реконструкцию)"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"Завершение строительно-монтажных работ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"Установка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"Введение оборудования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технической готовности объекта, 100 %"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результата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"Введение в эксплуатацию объекта"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"Закупка включена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"Включение закупки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"Внесение сведений о государственном (муниципальном) контракте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распределения межбюджетных трансфертов по муниципальным образованиям"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бюджетам субъектов Российской Федерации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"Предоставление отчета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"Земельный участок предоставлен заказчику"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"Предоставление земельного участка заказчику"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положительного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разрешения на строительство (реконструкцию)"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"Завершение строительно-монтажных работ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"Установка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"Введение оборудования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61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"Техническая подготовка объекта, %"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"Введение объекта недвижимого имущества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"Государственная регистрация права на объект недвижимого имущества произведена"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"Мероприятия по контрольной точке отсутствуют"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положительного 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"Завершение строительно-монтажных работы"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"Установка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3.32.1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в эксплуатацию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полной технической готовности объекта"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объекта недвижимого имущества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"Государственная регистрация права на объект недвижимого имущества произведена"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"Осуществление государственной регистрации права на объект недвижимого имущества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3.37.1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положительного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"Завершение строительно-монтажных работ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3.40.1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"Установка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оборудования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полной технической готовности объекта"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объекта недвижимого имущества 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"Государственная регистрация права на объект недвижимого имущества произведена"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3.45.1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государственной регистрации права на объект недвижимого имущества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"Реконструированы и (или) капитально отремонтированы региональные и (или) муниципальные театры юного зрителя и театры кукол"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​Будет обеспеченокачество театрального обслуживания зрителей за счет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обновления интерьеров и зрительного зала,современного оборудования зала.</w:t>
            </w:r>
          </w:p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положительного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положительных заключений по результатам государственных экспертиз (малая сцена Саратовского театра юного зрителя им. Ю.П. Киселёва)"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"Завершение работ по капитальному ремонту театра кукол "Теремок""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"Установка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оборудования 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100%"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полной технической готовности театра кукол "Теремок""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объекта недвижимого имущества 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разрешения на строительство (реконструкцию)"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"Мероприятия по контрольной точке отсутствуют"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"Установка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"Введение оборудования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технической готовности малой сцены Саратовского театра юного зрителя им. Ю.П. Киселёва"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в эксплуатацию малой сцены Саратовского театра юного зрителя им. Ю.П. Киселёва"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80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отчета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"Построены центры культурного развития в городах с числом жителей до 300 000 человек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Центры культурного развития – это многофункциональное культурное пространство с концертным залом, музейно-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Количество зрительских мест будет увеличено на 500 единиц. Качество обслуживания населения выйдет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новый уровень.</w:t>
            </w:r>
          </w:p>
          <w:p w:rsidR="00B128B5" w:rsidRDefault="00B128B5"/>
        </w:tc>
      </w:tr>
      <w:tr w:rsidR="00B128B5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"Земельный участок предоставлен заказчику"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"Предоставление земельного участка заказчику"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положительного заключения по результатам государственных экспертиз"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разрешения на строительство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"Завершение строительно-монтажных работ"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"установка оборудования"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оборудования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полной технической готовности объекта"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объекта в эксплуатацию"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"Государственная регистрация права на объект недвижимого имущества произведена"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"Осуществление государственной регистрации права на объект недвижимого имущества"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"Приобретены передвижные многофункциональные культурные центры (автоклубы) для обслуживания сельского населения"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Расширение географии оказания услуг населению сельской местности. Доступность усл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 населению, проживающих в труднодоступных районах. Увеличение форм и методов обслуживания населения сельской местности.</w:t>
            </w:r>
          </w:p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"Закупка включена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"Включение закупки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"Внесение сведений о государственном (муниципальном) контракте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"Переоснащены муниципальные библиотеки по модельному стандарту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модельным стандартом созданы интеллектуальные центры, оснащенные скоростным Интернетом, доступом к современным отечественным информационным ресурсам научного и художественного содержания, к оцифрованным ресурсам периодической печати: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аны точки доступа к НЭБу и электронной библиотеке диссертаций, комплектование мультимедийными ресурсами, а также организацию современного комфортного библиотечного пространства. В составе библиотечных фондов предусмотрены носители информации, изготовленные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форматах, доступных для инвалидов по зрению. Созданы дискуссионные клубы, консультационные пункты и лектории для всех возрастных групп. Повышена эффективность их работы и посещаемость не менее, чем в 2раза.</w:t>
            </w:r>
          </w:p>
          <w:p w:rsidR="00B128B5" w:rsidRDefault="00B128B5"/>
        </w:tc>
      </w:tr>
      <w:tr w:rsidR="00B128B5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"Закупка включена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"Включение закупки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"Внесение сведений о государственном (муниципальном) контракте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"Обеспечение условий для реконструкции и капитального ремонта театров юного зрителя и театров кукол"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"Закупка включена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"Включение закупки в план закупок (разработка проектно-сметной документации на проведение капитального ремонта театра кукол "Теремок")"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"Внесение сведений о государственном контракте в реестр контрактов, заключенных заказчиками по результатам закупок (разработка проектно-сметной документации на проведение капитального ремонта театра кукол "Теремок")"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 (соглашение о предоставлении субсидии юридическому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отчета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"Приемка выполненных работ по разработке проектно-сметной документации"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"Оплата выполненных работ по государственному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</w:tr>
      <w:tr w:rsidR="00B128B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"Закупка включена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"Включение закупки в план закупок (разработка проектно-сметной документации по реконструкции малой сцены Саратовского театра юного зрителя им. Ю.П. Киселёва)"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"Внесение сведений о государственном контракте внесены в реестр контрактов, заключенных заказчиком по результатам закупок (разработка проектно-сметной документации по реконструкции малой сцены Саратовского театра юного зрителя им. Ю.П. Киселёва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"Приёмка выполненных работ (разработка проектно-сметной документации по реконструкции малой сцены Саратовского театра юного зрителя им. Ю.П. Киселёва)"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Петренко В. В., Начальник отдела формирования материально-технической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 (соглашение о предоставлении субсидии юридическому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отчета о выполнении соглашения о предоставлении субсидии юридическому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"Оплата выполненных работ по государственному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Петренко В. В., Начальник отдела формирования материально-технической базы и государственных закупок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"Создание условий для модернизации библиотек по модельному стандарту"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"Проведены работы (в том числе по текущему ремонту) по созданию условий для модернизации библиотек по модельному стандарту"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муниципальными образованиями заключены соглашения о предоставлении бюджетам муниципальных образований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 муниципальными образованиями соглашений о предоставлении бюджетам муниципальных образований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128B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B128B5"/>
        </w:tc>
      </w:tr>
      <w:tr w:rsidR="00B128B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128B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128B5" w:rsidRDefault="00B128B5"/>
        </w:tc>
      </w:tr>
      <w:tr w:rsidR="00B128B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"Предоставление отчета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28B5" w:rsidRDefault="00B128B5"/>
        </w:tc>
      </w:tr>
    </w:tbl>
    <w:p w:rsidR="00B128B5" w:rsidRDefault="00B128B5">
      <w:pPr>
        <w:sectPr w:rsidR="00B128B5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3"/>
        <w:gridCol w:w="5459"/>
        <w:gridCol w:w="1949"/>
        <w:gridCol w:w="817"/>
        <w:gridCol w:w="6877"/>
        <w:gridCol w:w="86"/>
        <w:gridCol w:w="917"/>
      </w:tblGrid>
      <w:tr w:rsidR="00B128B5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880" w:type="dxa"/>
            <w:gridSpan w:val="3"/>
          </w:tcPr>
          <w:p w:rsidR="00B128B5" w:rsidRDefault="00B128B5"/>
        </w:tc>
      </w:tr>
      <w:tr w:rsidR="00B128B5">
        <w:trPr>
          <w:trHeight w:hRule="exact" w:val="143"/>
        </w:trPr>
        <w:tc>
          <w:tcPr>
            <w:tcW w:w="23498" w:type="dxa"/>
            <w:gridSpan w:val="7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7880" w:type="dxa"/>
            <w:gridSpan w:val="3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  <w:vAlign w:val="bottom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7880" w:type="dxa"/>
            <w:gridSpan w:val="3"/>
          </w:tcPr>
          <w:p w:rsidR="00B128B5" w:rsidRDefault="00B128B5"/>
        </w:tc>
      </w:tr>
      <w:tr w:rsidR="00B128B5">
        <w:trPr>
          <w:trHeight w:hRule="exact" w:val="716"/>
        </w:trPr>
        <w:tc>
          <w:tcPr>
            <w:tcW w:w="15618" w:type="dxa"/>
            <w:gridSpan w:val="4"/>
            <w:shd w:val="clear" w:color="auto" w:fill="auto"/>
            <w:tcMar>
              <w:top w:w="287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Культурная среда (Саратовская область)</w:t>
            </w:r>
          </w:p>
        </w:tc>
        <w:tc>
          <w:tcPr>
            <w:tcW w:w="7880" w:type="dxa"/>
            <w:gridSpan w:val="3"/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15618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Модель функционирования результатов и достижения показателей регионального проекта</w:t>
            </w:r>
          </w:p>
        </w:tc>
        <w:tc>
          <w:tcPr>
            <w:tcW w:w="7880" w:type="dxa"/>
            <w:gridSpan w:val="3"/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5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B128B5"/>
        </w:tc>
        <w:tc>
          <w:tcPr>
            <w:tcW w:w="7880" w:type="dxa"/>
            <w:gridSpan w:val="3"/>
            <w:tcBorders>
              <w:left w:val="single" w:sz="5" w:space="0" w:color="000000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22495" w:type="dxa"/>
            <w:gridSpan w:val="5"/>
            <w:shd w:val="clear" w:color="auto" w:fill="auto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003" w:type="dxa"/>
            <w:gridSpan w:val="2"/>
          </w:tcPr>
          <w:p w:rsidR="00B128B5" w:rsidRDefault="00B128B5"/>
        </w:tc>
      </w:tr>
      <w:tr w:rsidR="00B128B5">
        <w:trPr>
          <w:trHeight w:hRule="exact" w:val="573"/>
        </w:trPr>
        <w:tc>
          <w:tcPr>
            <w:tcW w:w="23498" w:type="dxa"/>
            <w:gridSpan w:val="7"/>
            <w:shd w:val="clear" w:color="auto" w:fill="auto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Оценка обеспеченности целей и целевых показателей регионального проекта</w:t>
            </w:r>
          </w:p>
        </w:tc>
      </w:tr>
      <w:tr w:rsidR="00B128B5">
        <w:trPr>
          <w:trHeight w:hRule="exact" w:val="1003"/>
        </w:trPr>
        <w:tc>
          <w:tcPr>
            <w:tcW w:w="22581" w:type="dxa"/>
            <w:gridSpan w:val="6"/>
            <w:tcBorders>
              <w:bottom w:val="single" w:sz="5" w:space="0" w:color="9B9B9B"/>
            </w:tcBorders>
          </w:tcPr>
          <w:p w:rsidR="00B128B5" w:rsidRDefault="00B128B5"/>
        </w:tc>
        <w:tc>
          <w:tcPr>
            <w:tcW w:w="917" w:type="dxa"/>
          </w:tcPr>
          <w:p w:rsidR="00B128B5" w:rsidRDefault="00B128B5"/>
        </w:tc>
      </w:tr>
      <w:tr w:rsidR="00B128B5">
        <w:trPr>
          <w:trHeight w:hRule="exact" w:val="1433"/>
        </w:trPr>
        <w:tc>
          <w:tcPr>
            <w:tcW w:w="739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128B5" w:rsidRDefault="003F2D08">
            <w:pPr>
              <w:pStyle w:val="1"/>
              <w:spacing w:line="230" w:lineRule="auto"/>
              <w:jc w:val="center"/>
            </w:pPr>
            <w:r>
              <w:t>Наименование результата регионального проекта</w:t>
            </w:r>
          </w:p>
        </w:tc>
        <w:tc>
          <w:tcPr>
            <w:tcW w:w="545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Объем бюджетных ассигнований федерального бюджета (тыс.рублей)</w:t>
            </w:r>
          </w:p>
        </w:tc>
        <w:tc>
          <w:tcPr>
            <w:tcW w:w="194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</w:p>
        </w:tc>
        <w:tc>
          <w:tcPr>
            <w:tcW w:w="778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917" w:type="dxa"/>
            <w:tcBorders>
              <w:left w:val="single" w:sz="5" w:space="0" w:color="9B9B9B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739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pStyle w:val="10"/>
              <w:spacing w:line="230" w:lineRule="auto"/>
            </w:pPr>
            <w:r>
              <w:t>1.</w:t>
            </w:r>
          </w:p>
        </w:tc>
        <w:tc>
          <w:tcPr>
            <w:tcW w:w="545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128B5" w:rsidRDefault="00B128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</w:p>
        </w:tc>
        <w:tc>
          <w:tcPr>
            <w:tcW w:w="194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128B5" w:rsidRDefault="003F2D0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778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917" w:type="dxa"/>
            <w:tcBorders>
              <w:left w:val="single" w:sz="5" w:space="0" w:color="9B9B9B"/>
            </w:tcBorders>
          </w:tcPr>
          <w:p w:rsidR="00B128B5" w:rsidRDefault="00B128B5"/>
        </w:tc>
      </w:tr>
      <w:tr w:rsidR="00B128B5">
        <w:trPr>
          <w:trHeight w:hRule="exact" w:val="430"/>
        </w:trPr>
        <w:tc>
          <w:tcPr>
            <w:tcW w:w="12852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обеспеченность основных и дополнительных показателей федерального проекта</w:t>
            </w:r>
          </w:p>
        </w:tc>
        <w:tc>
          <w:tcPr>
            <w:tcW w:w="194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778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B128B5" w:rsidRDefault="003F2D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917" w:type="dxa"/>
            <w:tcBorders>
              <w:left w:val="single" w:sz="5" w:space="0" w:color="9B9B9B"/>
            </w:tcBorders>
          </w:tcPr>
          <w:p w:rsidR="00B128B5" w:rsidRDefault="00B128B5"/>
        </w:tc>
      </w:tr>
    </w:tbl>
    <w:p w:rsidR="003F2D08" w:rsidRDefault="003F2D08"/>
    <w:sectPr w:rsidR="003F2D08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B5"/>
    <w:rsid w:val="003F2D08"/>
    <w:rsid w:val="00B128B5"/>
    <w:rsid w:val="00B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C0FDE-11F3-4DED-A1AA-77522779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15398</Words>
  <Characters>87772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RP_Kul'turnaya_sreda_(Saratovskaya_oblast')</vt:lpstr>
    </vt:vector>
  </TitlesOfParts>
  <Company>Stimulsoft Reports 2019.3.4 from 5 August 2019</Company>
  <LinksUpToDate>false</LinksUpToDate>
  <CharactersWithSpaces>102965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RP_Kul'turnaya_sreda_(Saratovskaya_oblast')</dc:title>
  <dc:subject>RP_Kul'turnaya_sreda_(Saratovskaya_oblast')</dc:subject>
  <dc:creator>Емельянова Марина Андреевна</dc:creator>
  <cp:keywords/>
  <dc:description/>
  <cp:lastModifiedBy>Емельянова Марина Андреевна</cp:lastModifiedBy>
  <cp:revision>2</cp:revision>
  <dcterms:created xsi:type="dcterms:W3CDTF">2020-02-21T09:36:00Z</dcterms:created>
  <dcterms:modified xsi:type="dcterms:W3CDTF">2020-02-21T09:36:00Z</dcterms:modified>
</cp:coreProperties>
</file>