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5D" w:rsidRPr="000C145D" w:rsidRDefault="000C145D" w:rsidP="000C145D">
      <w:pPr>
        <w:pStyle w:val="ConsPlusNormal"/>
        <w:ind w:left="9498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3 к приказу 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br/>
        <w:t xml:space="preserve">                    министерства культуры области</w:t>
      </w:r>
    </w:p>
    <w:p w:rsidR="000C145D" w:rsidRPr="000C145D" w:rsidRDefault="000C145D" w:rsidP="000C145D">
      <w:pPr>
        <w:pStyle w:val="ConsPlusNormal"/>
        <w:ind w:left="9498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 от  ____________№ __________</w:t>
      </w:r>
    </w:p>
    <w:p w:rsidR="000C145D" w:rsidRPr="000C145D" w:rsidRDefault="00570E9D" w:rsidP="000C145D">
      <w:pPr>
        <w:pStyle w:val="ConsPlusNormal"/>
        <w:ind w:left="9498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</w:t>
      </w:r>
    </w:p>
    <w:p w:rsidR="000C145D" w:rsidRPr="000C145D" w:rsidRDefault="000C145D" w:rsidP="000C145D">
      <w:pPr>
        <w:pStyle w:val="ConsPlusNormal"/>
        <w:ind w:left="9498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570E9D" w:rsidRPr="000C145D" w:rsidRDefault="00CD27D1" w:rsidP="000C145D">
      <w:pPr>
        <w:pStyle w:val="ConsPlusNormal"/>
        <w:ind w:left="9498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Приложение № 3 </w:t>
      </w:r>
      <w:r w:rsidR="003F266C" w:rsidRPr="000C145D">
        <w:rPr>
          <w:rFonts w:ascii="Times New Roman" w:hAnsi="Times New Roman" w:cs="Times New Roman"/>
          <w:color w:val="000000" w:themeColor="text1"/>
          <w:szCs w:val="22"/>
        </w:rPr>
        <w:t xml:space="preserve">к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приказу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br/>
      </w:r>
      <w:r w:rsidR="00570E9D"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>министерства культуры области</w:t>
      </w:r>
    </w:p>
    <w:p w:rsidR="00F35F44" w:rsidRPr="000C145D" w:rsidRDefault="00570E9D" w:rsidP="000C145D">
      <w:pPr>
        <w:pStyle w:val="ConsPlusNormal"/>
        <w:ind w:left="9498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                 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 от</w:t>
      </w:r>
      <w:r w:rsidRPr="000C145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D27D1" w:rsidRPr="000C145D">
        <w:rPr>
          <w:rFonts w:ascii="Times New Roman" w:hAnsi="Times New Roman" w:cs="Times New Roman"/>
          <w:color w:val="000000" w:themeColor="text1"/>
          <w:szCs w:val="22"/>
        </w:rPr>
        <w:t>____________</w:t>
      </w:r>
      <w:r w:rsidR="006A39EC" w:rsidRPr="000C145D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="00CD27D1" w:rsidRPr="000C145D">
        <w:rPr>
          <w:rFonts w:ascii="Times New Roman" w:hAnsi="Times New Roman" w:cs="Times New Roman"/>
          <w:color w:val="000000" w:themeColor="text1"/>
          <w:szCs w:val="22"/>
        </w:rPr>
        <w:t>__________</w:t>
      </w:r>
    </w:p>
    <w:p w:rsidR="00F35F44" w:rsidRDefault="00F35F44" w:rsidP="00CD27D1">
      <w:pPr>
        <w:pStyle w:val="ConsPlusNormal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Ind w:w="2912" w:type="dxa"/>
        <w:tblBorders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38"/>
        <w:gridCol w:w="1417"/>
      </w:tblGrid>
      <w:tr w:rsidR="00620ECA" w:rsidRPr="00620ECA" w:rsidTr="00E7292C">
        <w:tc>
          <w:tcPr>
            <w:tcW w:w="7338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6A39EC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CD27D1" w:rsidP="000C14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  <w:r w:rsidR="000C14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 20</w:t>
      </w:r>
      <w:r w:rsidR="00E7292C">
        <w:rPr>
          <w:rFonts w:ascii="Times New Roman" w:hAnsi="Times New Roman" w:cs="Times New Roman"/>
          <w:sz w:val="28"/>
          <w:szCs w:val="28"/>
        </w:rPr>
        <w:t>20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7292C">
        <w:rPr>
          <w:rFonts w:ascii="Times New Roman" w:hAnsi="Times New Roman" w:cs="Times New Roman"/>
          <w:sz w:val="28"/>
          <w:szCs w:val="28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 xml:space="preserve"> и 202</w:t>
      </w:r>
      <w:r w:rsidR="00CD27D1">
        <w:rPr>
          <w:rFonts w:ascii="Times New Roman" w:hAnsi="Times New Roman" w:cs="Times New Roman"/>
          <w:sz w:val="28"/>
          <w:szCs w:val="28"/>
        </w:rPr>
        <w:t>2</w:t>
      </w:r>
      <w:r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CD27D1" w:rsidRDefault="00620ECA" w:rsidP="00CD27D1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Государственное  учреждение д</w:t>
      </w:r>
      <w:r w:rsidR="00E7292C" w:rsidRPr="00CD27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ополнительного образования  «Детская школа искусств Краснокутского муниципального района 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F35F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912D2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083C65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F35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F35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общеразвивающих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7"/>
        <w:gridCol w:w="1961"/>
        <w:gridCol w:w="1857"/>
        <w:gridCol w:w="1981"/>
        <w:gridCol w:w="1578"/>
        <w:gridCol w:w="739"/>
        <w:gridCol w:w="1505"/>
        <w:gridCol w:w="1358"/>
        <w:gridCol w:w="1464"/>
      </w:tblGrid>
      <w:tr w:rsidR="00F35F44" w:rsidTr="00CD27D1">
        <w:trPr>
          <w:trHeight w:val="632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CD27D1">
        <w:trPr>
          <w:trHeight w:val="747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hyperlink r:id="rId9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</w:t>
            </w:r>
            <w:r w:rsidR="00E7292C" w:rsidRPr="00CD27D1">
              <w:rPr>
                <w:rFonts w:ascii="Times New Roman" w:hAnsi="Times New Roman" w:cs="Times New Roman"/>
                <w:sz w:val="20"/>
              </w:rPr>
              <w:t>20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</w:t>
            </w:r>
            <w:r w:rsidR="00E7292C" w:rsidRPr="00CD27D1">
              <w:rPr>
                <w:rFonts w:ascii="Times New Roman" w:hAnsi="Times New Roman" w:cs="Times New Roman"/>
                <w:sz w:val="20"/>
              </w:rPr>
              <w:t>1</w:t>
            </w:r>
            <w:r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CD27D1">
        <w:trPr>
          <w:trHeight w:val="19"/>
          <w:jc w:val="center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CD27D1">
        <w:trPr>
          <w:trHeight w:val="273"/>
          <w:jc w:val="center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292C" w:rsidTr="00CD27D1">
        <w:trPr>
          <w:cantSplit/>
          <w:trHeight w:val="1275"/>
          <w:jc w:val="center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EF200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EF200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EF200C" w:rsidRDefault="00E7292C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4.</w:t>
            </w:r>
            <w:r w:rsidRPr="00EF200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E7292C" w:rsidTr="00CD27D1">
        <w:trPr>
          <w:cantSplit/>
          <w:trHeight w:val="143"/>
          <w:jc w:val="center"/>
        </w:trPr>
        <w:tc>
          <w:tcPr>
            <w:tcW w:w="27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F200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4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EF200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F200C"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5"/>
        <w:gridCol w:w="2754"/>
        <w:gridCol w:w="1506"/>
        <w:gridCol w:w="1436"/>
        <w:gridCol w:w="1227"/>
        <w:gridCol w:w="1215"/>
        <w:gridCol w:w="1118"/>
        <w:gridCol w:w="1082"/>
        <w:gridCol w:w="921"/>
        <w:gridCol w:w="920"/>
        <w:gridCol w:w="1085"/>
        <w:gridCol w:w="927"/>
        <w:gridCol w:w="950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42770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E7292C" w:rsidTr="00F42770">
        <w:tc>
          <w:tcPr>
            <w:tcW w:w="135" w:type="dxa"/>
            <w:shd w:val="clear" w:color="auto" w:fill="auto"/>
          </w:tcPr>
          <w:p w:rsidR="00E7292C" w:rsidRDefault="00E7292C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80F49" w:rsidRPr="003F266C" w:rsidRDefault="00080F49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3F266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E7292C" w:rsidRPr="003F266C" w:rsidRDefault="00E7292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4.</w:t>
            </w: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0C145D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2431,88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3647,82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3647,82</w:t>
            </w:r>
          </w:p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3F266C" w:rsidRDefault="00E7292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620ECA" w:rsidRDefault="00620ECA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292C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t xml:space="preserve">Опубликование информации о своей деятельности. 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E7292C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7292C" w:rsidRPr="00AB2608" w:rsidRDefault="00E7292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5564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 w:firstRow="1" w:lastRow="0" w:firstColumn="1" w:lastColumn="0" w:noHBand="0" w:noVBand="1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CD27D1" w:rsidRDefault="00CD27D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149"/>
        <w:tblW w:w="150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3"/>
        <w:gridCol w:w="2977"/>
        <w:gridCol w:w="2165"/>
        <w:gridCol w:w="2165"/>
        <w:gridCol w:w="5736"/>
      </w:tblGrid>
      <w:tr w:rsidR="00AA66DC" w:rsidTr="00AA66DC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AA66DC" w:rsidTr="00AA66DC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AA66DC" w:rsidTr="00AA66DC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Default="00AA66DC" w:rsidP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318" w:type="dxa"/>
        <w:tblInd w:w="-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2767"/>
        <w:gridCol w:w="1962"/>
        <w:gridCol w:w="1081"/>
        <w:gridCol w:w="776"/>
        <w:gridCol w:w="1349"/>
        <w:gridCol w:w="632"/>
        <w:gridCol w:w="1578"/>
        <w:gridCol w:w="740"/>
        <w:gridCol w:w="1504"/>
        <w:gridCol w:w="1357"/>
        <w:gridCol w:w="1280"/>
        <w:gridCol w:w="184"/>
      </w:tblGrid>
      <w:tr w:rsidR="00F35F44" w:rsidTr="00AA66DC">
        <w:trPr>
          <w:gridBefore w:val="1"/>
          <w:wBefore w:w="108" w:type="dxa"/>
          <w:trHeight w:val="632"/>
        </w:trPr>
        <w:tc>
          <w:tcPr>
            <w:tcW w:w="2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2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AA66DC">
        <w:trPr>
          <w:gridBefore w:val="1"/>
          <w:wBefore w:w="108" w:type="dxa"/>
          <w:trHeight w:val="747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по</w:t>
            </w:r>
            <w:hyperlink r:id="rId11">
              <w:r w:rsidRPr="00CD27D1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20</w:t>
            </w:r>
            <w:r w:rsidR="00775E41">
              <w:rPr>
                <w:rFonts w:ascii="Times New Roman" w:hAnsi="Times New Roman" w:cs="Times New Roman"/>
                <w:sz w:val="20"/>
              </w:rPr>
              <w:t>20</w:t>
            </w:r>
            <w:r w:rsidRPr="00CD27D1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775E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775E4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="006A39EC" w:rsidRPr="00CD27D1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F35F44" w:rsidTr="00AA66DC">
        <w:trPr>
          <w:gridBefore w:val="1"/>
          <w:wBefore w:w="108" w:type="dxa"/>
          <w:trHeight w:val="19"/>
        </w:trPr>
        <w:tc>
          <w:tcPr>
            <w:tcW w:w="2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CD27D1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D27D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AA66DC">
        <w:trPr>
          <w:gridBefore w:val="1"/>
          <w:wBefore w:w="108" w:type="dxa"/>
          <w:trHeight w:val="273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66DC" w:rsidTr="00080F49">
        <w:trPr>
          <w:gridBefore w:val="1"/>
          <w:wBefore w:w="108" w:type="dxa"/>
          <w:trHeight w:val="1669"/>
        </w:trPr>
        <w:tc>
          <w:tcPr>
            <w:tcW w:w="2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804200О.99.0.ББ52АЕ04000</w:t>
            </w:r>
          </w:p>
          <w:p w:rsidR="00AA66DC" w:rsidRPr="003F266C" w:rsidRDefault="00AA66DC" w:rsidP="003F26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802112О.99.0.ББ55АБ04000</w:t>
            </w:r>
          </w:p>
          <w:p w:rsidR="00AA66DC" w:rsidRPr="003F266C" w:rsidRDefault="00AA66DC" w:rsidP="003F266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802112О.99.0.ББ55АБ60000</w:t>
            </w:r>
          </w:p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802112О.99.0.ББ55АВ16000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tabs>
                <w:tab w:val="left" w:pos="0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AA66DC" w:rsidRPr="003F266C" w:rsidRDefault="00AA66D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2.Струнные инструменты</w:t>
            </w:r>
          </w:p>
          <w:p w:rsidR="00AA66DC" w:rsidRPr="003F266C" w:rsidRDefault="00AA66DC" w:rsidP="000114D0">
            <w:pPr>
              <w:pStyle w:val="ConsPlusNormal"/>
              <w:tabs>
                <w:tab w:val="left" w:pos="0"/>
                <w:tab w:val="left" w:pos="151"/>
                <w:tab w:val="left" w:pos="34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>3.Духовые</w:t>
            </w:r>
            <w:r w:rsidRPr="003F266C">
              <w:rPr>
                <w:rFonts w:ascii="Times New Roman" w:hAnsi="Times New Roman" w:cs="Times New Roman"/>
                <w:szCs w:val="22"/>
              </w:rPr>
              <w:t xml:space="preserve"> инструменты</w:t>
            </w:r>
          </w:p>
          <w:p w:rsidR="00AA66DC" w:rsidRPr="003F266C" w:rsidRDefault="00AA66DC" w:rsidP="000114D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4.</w:t>
            </w:r>
            <w:r w:rsidRPr="003F266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Народные инструменты</w:t>
            </w:r>
          </w:p>
        </w:tc>
        <w:tc>
          <w:tcPr>
            <w:tcW w:w="18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A66DC" w:rsidTr="00AA66DC">
        <w:trPr>
          <w:gridBefore w:val="1"/>
          <w:wBefore w:w="108" w:type="dxa"/>
          <w:trHeight w:val="287"/>
        </w:trPr>
        <w:tc>
          <w:tcPr>
            <w:tcW w:w="2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80F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46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50</w:t>
            </w:r>
          </w:p>
        </w:tc>
      </w:tr>
      <w:tr w:rsidR="00F35F44" w:rsidTr="00AA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</w:trPr>
        <w:tc>
          <w:tcPr>
            <w:tcW w:w="15134" w:type="dxa"/>
            <w:gridSpan w:val="12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 w:rsidTr="00AA6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4" w:type="dxa"/>
          <w:trHeight w:val="929"/>
        </w:trPr>
        <w:tc>
          <w:tcPr>
            <w:tcW w:w="5918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gridSpan w:val="6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 w:rsidP="00CD27D1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"/>
        <w:gridCol w:w="2779"/>
        <w:gridCol w:w="1890"/>
        <w:gridCol w:w="1439"/>
        <w:gridCol w:w="1228"/>
        <w:gridCol w:w="1215"/>
        <w:gridCol w:w="726"/>
        <w:gridCol w:w="1082"/>
        <w:gridCol w:w="904"/>
        <w:gridCol w:w="30"/>
        <w:gridCol w:w="921"/>
        <w:gridCol w:w="1085"/>
        <w:gridCol w:w="929"/>
        <w:gridCol w:w="956"/>
      </w:tblGrid>
      <w:tr w:rsidR="00F35F44" w:rsidTr="00AA66DC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F35F44" w:rsidTr="00AA66DC">
        <w:trPr>
          <w:trHeight w:val="348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 w:rsidP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D27D1">
              <w:rPr>
                <w:rFonts w:ascii="Times New Roman" w:hAnsi="Times New Roman" w:cs="Times New Roman"/>
                <w:sz w:val="18"/>
                <w:szCs w:val="18"/>
              </w:rPr>
              <w:t>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CD27D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6A39EC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F35F44" w:rsidTr="00AA66DC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AA66DC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7408BB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4435,75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5323,56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5323,56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611,16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611,16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775E41">
            <w:pPr>
              <w:jc w:val="center"/>
              <w:rPr>
                <w:sz w:val="22"/>
                <w:szCs w:val="22"/>
              </w:rPr>
            </w:pPr>
            <w:r w:rsidRPr="003F266C">
              <w:rPr>
                <w:sz w:val="22"/>
                <w:szCs w:val="22"/>
              </w:rPr>
              <w:t>611,16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1037,52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1037,52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A66DC" w:rsidTr="00AA66DC">
        <w:tc>
          <w:tcPr>
            <w:tcW w:w="136" w:type="dxa"/>
            <w:shd w:val="clear" w:color="auto" w:fill="auto"/>
          </w:tcPr>
          <w:p w:rsidR="00AA66DC" w:rsidRDefault="00AA66DC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266C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3591,06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3591,06</w:t>
            </w:r>
          </w:p>
        </w:tc>
        <w:tc>
          <w:tcPr>
            <w:tcW w:w="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656770" w:rsidP="00775E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3591,06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6DC" w:rsidRPr="003F266C" w:rsidRDefault="00AA66DC" w:rsidP="000114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11B3F" w:rsidTr="00AA66DC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1518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811B3F" w:rsidTr="00AA66DC">
        <w:tc>
          <w:tcPr>
            <w:tcW w:w="136" w:type="dxa"/>
            <w:shd w:val="clear" w:color="auto" w:fill="auto"/>
          </w:tcPr>
          <w:p w:rsidR="00811B3F" w:rsidRDefault="00811B3F"/>
        </w:tc>
        <w:tc>
          <w:tcPr>
            <w:tcW w:w="73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Pr="00620ECA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63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811B3F" w:rsidRDefault="00811B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6DC" w:rsidRDefault="00AA66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E9D" w:rsidRDefault="00570E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>Приказ Министерства культуры Российской Федерации «Об утверждении перечня дополнительных предпрофессиональных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6DC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в средствах массовой информации: печатные СМИ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widowControl w:val="0"/>
              <w:jc w:val="both"/>
              <w:rPr>
                <w:color w:val="FF0000"/>
                <w:sz w:val="22"/>
                <w:szCs w:val="22"/>
              </w:rPr>
            </w:pPr>
            <w:r w:rsidRPr="00AB2608">
              <w:rPr>
                <w:sz w:val="22"/>
                <w:szCs w:val="22"/>
              </w:rPr>
              <w:t xml:space="preserve">Опубликование информации о своей деятельности. 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По мере необходимости</w:t>
            </w:r>
          </w:p>
        </w:tc>
      </w:tr>
      <w:tr w:rsidR="00AA66DC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Размещение информации об учреждении в сети Интернет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AB2608">
              <w:rPr>
                <w:rFonts w:ascii="Times New Roman" w:hAnsi="Times New Roman" w:cs="Times New Roman"/>
                <w:szCs w:val="22"/>
              </w:rPr>
              <w:t>Согласно Постановления Правительства РФ от 10 июля 2013 г. N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AA66DC" w:rsidRPr="00AB2608" w:rsidRDefault="00AA66DC" w:rsidP="000114D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260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556480" w:rsidTr="00556480">
        <w:trPr>
          <w:trHeight w:val="210"/>
        </w:trPr>
        <w:tc>
          <w:tcPr>
            <w:tcW w:w="15137" w:type="dxa"/>
            <w:vAlign w:val="bottom"/>
            <w:hideMark/>
          </w:tcPr>
          <w:p w:rsidR="00556480" w:rsidRDefault="00556480" w:rsidP="00556480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556480" w:rsidRDefault="00556480" w:rsidP="00556480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556480" w:rsidTr="00556480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556480" w:rsidTr="00556480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556480" w:rsidTr="00556480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556480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556480" w:rsidTr="00556480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556480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556480" w:rsidTr="00556480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56480" w:rsidTr="00556480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480" w:rsidRDefault="00556480" w:rsidP="0055648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556480" w:rsidTr="00556480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556480" w:rsidTr="00556480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556480" w:rsidTr="00556480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480" w:rsidRDefault="00556480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556480" w:rsidTr="00556480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480" w:rsidRPr="00EF200C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20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56480" w:rsidTr="00556480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80" w:rsidRDefault="00556480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56480" w:rsidTr="00556480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556480" w:rsidTr="00556480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6480" w:rsidRDefault="00556480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56480" w:rsidRDefault="00556480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</w:t>
      </w:r>
      <w:r>
        <w:rPr>
          <w:rFonts w:ascii="Times New Roman" w:hAnsi="Times New Roman" w:cs="Times New Roman"/>
          <w:szCs w:val="24"/>
        </w:rPr>
        <w:lastRenderedPageBreak/>
        <w:t>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5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77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570E9D" w:rsidRDefault="006A39EC" w:rsidP="003F266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 w:rsidR="003F266C"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F35F44"/>
    <w:sectPr w:rsidR="00F35F44" w:rsidSect="00570E9D">
      <w:headerReference w:type="default" r:id="rId16"/>
      <w:pgSz w:w="16838" w:h="11906" w:orient="landscape"/>
      <w:pgMar w:top="284" w:right="851" w:bottom="709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3C" w:rsidRDefault="00E35A3C">
      <w:r>
        <w:separator/>
      </w:r>
    </w:p>
  </w:endnote>
  <w:endnote w:type="continuationSeparator" w:id="0">
    <w:p w:rsidR="00E35A3C" w:rsidRDefault="00E3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3C" w:rsidRDefault="00E35A3C">
      <w:r>
        <w:separator/>
      </w:r>
    </w:p>
  </w:footnote>
  <w:footnote w:type="continuationSeparator" w:id="0">
    <w:p w:rsidR="00E35A3C" w:rsidRDefault="00E3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EC" w:rsidRDefault="00DC4A53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7408BB">
      <w:rPr>
        <w:noProof/>
      </w:rPr>
      <w:t>5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F44"/>
    <w:rsid w:val="00026C18"/>
    <w:rsid w:val="0003729F"/>
    <w:rsid w:val="00080F49"/>
    <w:rsid w:val="00083C65"/>
    <w:rsid w:val="000C145D"/>
    <w:rsid w:val="001110B7"/>
    <w:rsid w:val="001220C4"/>
    <w:rsid w:val="00142E56"/>
    <w:rsid w:val="00156645"/>
    <w:rsid w:val="0029681C"/>
    <w:rsid w:val="003F266C"/>
    <w:rsid w:val="004525FC"/>
    <w:rsid w:val="00522814"/>
    <w:rsid w:val="00556480"/>
    <w:rsid w:val="00570E9D"/>
    <w:rsid w:val="005D7D20"/>
    <w:rsid w:val="00620ECA"/>
    <w:rsid w:val="00656770"/>
    <w:rsid w:val="006A1630"/>
    <w:rsid w:val="006A39EC"/>
    <w:rsid w:val="006C50D2"/>
    <w:rsid w:val="006F58EB"/>
    <w:rsid w:val="007408BB"/>
    <w:rsid w:val="00775E41"/>
    <w:rsid w:val="00811B3F"/>
    <w:rsid w:val="008F2D80"/>
    <w:rsid w:val="00912D2A"/>
    <w:rsid w:val="009A305D"/>
    <w:rsid w:val="00A41B59"/>
    <w:rsid w:val="00AA66DC"/>
    <w:rsid w:val="00B9447A"/>
    <w:rsid w:val="00CB42EF"/>
    <w:rsid w:val="00CD27D1"/>
    <w:rsid w:val="00DC4A53"/>
    <w:rsid w:val="00DE42A0"/>
    <w:rsid w:val="00E35A3C"/>
    <w:rsid w:val="00E7292C"/>
    <w:rsid w:val="00EF200C"/>
    <w:rsid w:val="00F35F44"/>
    <w:rsid w:val="00F4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EABB8-6A53-4175-8CF0-D47ECD47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CB42EF"/>
    <w:rPr>
      <w:rFonts w:eastAsia="Calibri"/>
    </w:rPr>
  </w:style>
  <w:style w:type="paragraph" w:styleId="a6">
    <w:name w:val="Title"/>
    <w:basedOn w:val="a"/>
    <w:next w:val="a7"/>
    <w:rsid w:val="00CB42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B42EF"/>
    <w:pPr>
      <w:spacing w:after="140" w:line="288" w:lineRule="auto"/>
    </w:pPr>
  </w:style>
  <w:style w:type="paragraph" w:styleId="a8">
    <w:name w:val="List"/>
    <w:basedOn w:val="a7"/>
    <w:rsid w:val="00CB42EF"/>
    <w:rPr>
      <w:rFonts w:cs="Mangal"/>
    </w:rPr>
  </w:style>
  <w:style w:type="paragraph" w:customStyle="1" w:styleId="1">
    <w:name w:val="Название1"/>
    <w:basedOn w:val="a"/>
    <w:rsid w:val="00CB42EF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CB42EF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CB42EF"/>
  </w:style>
  <w:style w:type="paragraph" w:customStyle="1" w:styleId="af0">
    <w:name w:val="Содержимое таблицы"/>
    <w:basedOn w:val="a"/>
    <w:rsid w:val="00CB42EF"/>
  </w:style>
  <w:style w:type="paragraph" w:customStyle="1" w:styleId="af1">
    <w:name w:val="Заголовок таблицы"/>
    <w:basedOn w:val="af0"/>
    <w:rsid w:val="00CB42EF"/>
  </w:style>
  <w:style w:type="character" w:styleId="af2">
    <w:name w:val="Hyperlink"/>
    <w:basedOn w:val="a0"/>
    <w:uiPriority w:val="99"/>
    <w:semiHidden/>
    <w:unhideWhenUsed/>
    <w:rsid w:val="00556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A438-CD12-49F5-A6AE-C9AB0122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Скобеева Надежда Александровна</cp:lastModifiedBy>
  <cp:revision>21</cp:revision>
  <cp:lastPrinted>2020-11-26T11:07:00Z</cp:lastPrinted>
  <dcterms:created xsi:type="dcterms:W3CDTF">2020-01-15T15:51:00Z</dcterms:created>
  <dcterms:modified xsi:type="dcterms:W3CDTF">2020-11-26T11:09:00Z</dcterms:modified>
  <dc:language>ru-RU</dc:language>
</cp:coreProperties>
</file>