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29" w:rsidRPr="007D5129" w:rsidRDefault="00463C03" w:rsidP="007D5129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C3" w:rsidRDefault="00BB3A9F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pacing w:val="14"/>
          <w:sz w:val="30"/>
        </w:rPr>
      </w:pPr>
      <w:r>
        <w:rPr>
          <w:rFonts w:ascii="Arial" w:hAnsi="Arial"/>
          <w:b/>
          <w:spacing w:val="14"/>
          <w:sz w:val="30"/>
        </w:rPr>
        <w:t>МИНИСТЕРСТВО КУЛЬТУРЫ</w:t>
      </w:r>
    </w:p>
    <w:p w:rsidR="00BB3A9F" w:rsidRPr="007D5129" w:rsidRDefault="007D512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30"/>
        </w:rPr>
      </w:pPr>
      <w:r w:rsidRPr="007D5129">
        <w:rPr>
          <w:rFonts w:ascii="Arial" w:hAnsi="Arial"/>
          <w:b/>
          <w:spacing w:val="14"/>
          <w:sz w:val="30"/>
        </w:rPr>
        <w:t xml:space="preserve"> </w:t>
      </w:r>
      <w:r>
        <w:rPr>
          <w:rFonts w:ascii="Arial" w:hAnsi="Arial"/>
          <w:b/>
          <w:spacing w:val="14"/>
          <w:sz w:val="30"/>
        </w:rPr>
        <w:t>САРАТОВСКОЙ ОБЛАСТИ</w:t>
      </w:r>
    </w:p>
    <w:p w:rsidR="00BB3A9F" w:rsidRDefault="000008C3">
      <w:pPr>
        <w:jc w:val="center"/>
        <w:rPr>
          <w:b/>
          <w:sz w:val="36"/>
        </w:rPr>
      </w:pPr>
      <w:r>
        <w:rPr>
          <w:rFonts w:ascii="Arial" w:hAnsi="Arial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6FCF2E" wp14:editId="026BF43F">
                <wp:simplePos x="0" y="0"/>
                <wp:positionH relativeFrom="column">
                  <wp:posOffset>-635</wp:posOffset>
                </wp:positionH>
                <wp:positionV relativeFrom="paragraph">
                  <wp:posOffset>95885</wp:posOffset>
                </wp:positionV>
                <wp:extent cx="5761355" cy="635"/>
                <wp:effectExtent l="0" t="0" r="2984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55A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55pt" to="453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YHngIAAJs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b/>
          <w:noProof/>
          <w:spacing w:val="14"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6B7AB2" wp14:editId="794EBDC0">
                <wp:simplePos x="0" y="0"/>
                <wp:positionH relativeFrom="column">
                  <wp:posOffset>635</wp:posOffset>
                </wp:positionH>
                <wp:positionV relativeFrom="paragraph">
                  <wp:posOffset>90170</wp:posOffset>
                </wp:positionV>
                <wp:extent cx="5760720" cy="2540"/>
                <wp:effectExtent l="0" t="19050" r="3048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F222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1pt" to="45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B3A9F" w:rsidRDefault="00BB3A9F">
      <w:pPr>
        <w:pStyle w:val="3"/>
        <w:jc w:val="center"/>
        <w:rPr>
          <w:sz w:val="44"/>
        </w:rPr>
      </w:pPr>
      <w:r>
        <w:rPr>
          <w:sz w:val="44"/>
        </w:rPr>
        <w:t>П Р И К А З</w:t>
      </w:r>
    </w:p>
    <w:p w:rsidR="00BB3A9F" w:rsidRDefault="00BB3A9F">
      <w:pPr>
        <w:rPr>
          <w:rFonts w:ascii="Arial" w:hAnsi="Arial"/>
          <w:b/>
          <w:sz w:val="22"/>
        </w:rPr>
      </w:pPr>
    </w:p>
    <w:p w:rsidR="00BB3A9F" w:rsidRDefault="00B27936">
      <w:pPr>
        <w:pStyle w:val="4"/>
        <w:tabs>
          <w:tab w:val="left" w:pos="1817"/>
        </w:tabs>
        <w:jc w:val="center"/>
        <w:rPr>
          <w:rFonts w:ascii="Arial" w:hAnsi="Arial"/>
        </w:rPr>
      </w:pPr>
      <w:r>
        <w:rPr>
          <w:rFonts w:ascii="Arial" w:hAnsi="Arial"/>
        </w:rPr>
        <w:t>«</w:t>
      </w:r>
      <w:r w:rsidR="00B94944">
        <w:rPr>
          <w:rFonts w:ascii="Arial" w:hAnsi="Arial"/>
        </w:rPr>
        <w:t>__</w:t>
      </w:r>
      <w:r>
        <w:rPr>
          <w:rFonts w:ascii="Arial" w:hAnsi="Arial"/>
        </w:rPr>
        <w:t>»</w:t>
      </w:r>
      <w:r w:rsidR="000F4A15">
        <w:rPr>
          <w:rFonts w:ascii="Arial" w:hAnsi="Arial"/>
        </w:rPr>
        <w:t xml:space="preserve"> </w:t>
      </w:r>
      <w:r w:rsidR="00B94944">
        <w:rPr>
          <w:rFonts w:ascii="Arial" w:hAnsi="Arial"/>
        </w:rPr>
        <w:t>_______</w:t>
      </w:r>
      <w:r w:rsidR="000F4A15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9C2394">
        <w:rPr>
          <w:rFonts w:ascii="Arial" w:hAnsi="Arial"/>
        </w:rPr>
        <w:t>1</w:t>
      </w:r>
      <w:r w:rsidR="00BD718B">
        <w:rPr>
          <w:rFonts w:ascii="Arial" w:hAnsi="Arial"/>
        </w:rPr>
        <w:t>9</w:t>
      </w:r>
      <w:r w:rsidR="00BB3A9F">
        <w:rPr>
          <w:rFonts w:ascii="Arial" w:hAnsi="Arial"/>
        </w:rPr>
        <w:t xml:space="preserve"> года № </w:t>
      </w:r>
      <w:r w:rsidR="009C2394">
        <w:rPr>
          <w:rFonts w:ascii="Arial" w:hAnsi="Arial"/>
        </w:rPr>
        <w:t>01-11/</w:t>
      </w:r>
      <w:r w:rsidR="00B94944">
        <w:rPr>
          <w:rFonts w:ascii="Arial" w:hAnsi="Arial"/>
        </w:rPr>
        <w:t>_____</w:t>
      </w:r>
    </w:p>
    <w:p w:rsidR="00BB3A9F" w:rsidRDefault="00BB3A9F"/>
    <w:p w:rsidR="00BB3A9F" w:rsidRDefault="00BB3A9F">
      <w:pPr>
        <w:jc w:val="center"/>
        <w:rPr>
          <w:b/>
          <w:sz w:val="28"/>
        </w:rPr>
      </w:pPr>
      <w:r>
        <w:rPr>
          <w:b/>
          <w:sz w:val="28"/>
        </w:rPr>
        <w:t>г. Саратов</w:t>
      </w:r>
    </w:p>
    <w:p w:rsidR="00BB3A9F" w:rsidRDefault="00BB3A9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3D4AC0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E8155E" w:rsidP="003D4AC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3D4AC0">
              <w:rPr>
                <w:b/>
                <w:sz w:val="28"/>
                <w:szCs w:val="28"/>
              </w:rPr>
              <w:t>6</w:t>
            </w:r>
            <w:r w:rsidR="004E64D8">
              <w:rPr>
                <w:b/>
                <w:sz w:val="28"/>
                <w:szCs w:val="28"/>
              </w:rPr>
              <w:t xml:space="preserve"> </w:t>
            </w:r>
            <w:r w:rsidR="003D4AC0">
              <w:rPr>
                <w:b/>
                <w:sz w:val="28"/>
                <w:szCs w:val="28"/>
              </w:rPr>
              <w:t xml:space="preserve">октября </w:t>
            </w:r>
            <w:r w:rsidR="004E64D8">
              <w:rPr>
                <w:b/>
                <w:sz w:val="28"/>
                <w:szCs w:val="28"/>
              </w:rPr>
              <w:t>201</w:t>
            </w:r>
            <w:r w:rsidR="0025378A">
              <w:rPr>
                <w:b/>
                <w:sz w:val="28"/>
                <w:szCs w:val="28"/>
              </w:rPr>
              <w:t>4</w:t>
            </w:r>
            <w:r w:rsidR="004E64D8">
              <w:rPr>
                <w:b/>
                <w:sz w:val="28"/>
                <w:szCs w:val="28"/>
              </w:rPr>
              <w:t xml:space="preserve"> года № 01-11/</w:t>
            </w:r>
            <w:r w:rsidR="003D4AC0">
              <w:rPr>
                <w:b/>
                <w:sz w:val="28"/>
                <w:szCs w:val="28"/>
              </w:rPr>
              <w:t>471</w:t>
            </w:r>
            <w:r w:rsidR="00611CDB" w:rsidRPr="0015542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A9F" w:rsidRDefault="00BB3A9F">
      <w:pPr>
        <w:rPr>
          <w:sz w:val="28"/>
        </w:rPr>
      </w:pPr>
    </w:p>
    <w:p w:rsidR="00BB6A2F" w:rsidRDefault="00BB6A2F" w:rsidP="00573E21">
      <w:pPr>
        <w:ind w:firstLine="709"/>
        <w:jc w:val="both"/>
        <w:rPr>
          <w:sz w:val="28"/>
          <w:szCs w:val="28"/>
        </w:rPr>
      </w:pPr>
    </w:p>
    <w:p w:rsidR="00573E21" w:rsidRDefault="00BB6A2F" w:rsidP="00BB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Саратовской области от 28 августа 2014 года № 485-П «</w:t>
      </w:r>
      <w:r>
        <w:rPr>
          <w:sz w:val="28"/>
          <w:szCs w:val="28"/>
        </w:rPr>
        <w:t>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 или муниципальной собственностью, заключении областной государственной организацией, муниципальной организацией, образующей социальную инфраструктуру для детей, договора аренды и договора безвозмездного пользования закрепленных за ней объектов собственности, а также о реорганизации или ликвидации областных государственных организаций, муниципальных организаций, образующих социальную инфраструктуру для детей</w:t>
      </w:r>
      <w:r>
        <w:rPr>
          <w:sz w:val="28"/>
          <w:szCs w:val="28"/>
        </w:rPr>
        <w:t>», н</w:t>
      </w:r>
      <w:r w:rsidR="00C95ACD">
        <w:rPr>
          <w:sz w:val="28"/>
          <w:szCs w:val="28"/>
        </w:rPr>
        <w:t>а</w:t>
      </w:r>
      <w:r w:rsidR="0025378A" w:rsidRPr="0025378A">
        <w:rPr>
          <w:sz w:val="28"/>
          <w:szCs w:val="28"/>
        </w:rPr>
        <w:t xml:space="preserve"> основании </w:t>
      </w:r>
      <w:r w:rsidR="00E8155E">
        <w:rPr>
          <w:sz w:val="28"/>
          <w:szCs w:val="28"/>
        </w:rPr>
        <w:t>Положения</w:t>
      </w:r>
      <w:r w:rsidR="00795E9C">
        <w:rPr>
          <w:sz w:val="28"/>
          <w:szCs w:val="28"/>
        </w:rPr>
        <w:t xml:space="preserve"> о министерстве культуры Саратовской области, утвержденн</w:t>
      </w:r>
      <w:r w:rsidR="00E14F1D">
        <w:rPr>
          <w:sz w:val="28"/>
          <w:szCs w:val="28"/>
        </w:rPr>
        <w:t>ого</w:t>
      </w:r>
      <w:r w:rsidR="00795E9C">
        <w:rPr>
          <w:sz w:val="28"/>
          <w:szCs w:val="28"/>
        </w:rPr>
        <w:t xml:space="preserve"> </w:t>
      </w:r>
      <w:r w:rsidR="009B6C37">
        <w:rPr>
          <w:sz w:val="28"/>
          <w:szCs w:val="28"/>
        </w:rPr>
        <w:t>постановлением Правительства Саратовской области от 24 марта 2006 года № 84-П</w:t>
      </w:r>
      <w:r w:rsidR="00795E9C">
        <w:rPr>
          <w:sz w:val="28"/>
          <w:szCs w:val="28"/>
        </w:rPr>
        <w:t>,</w:t>
      </w:r>
      <w:r w:rsidR="009B6C37">
        <w:rPr>
          <w:sz w:val="28"/>
          <w:szCs w:val="28"/>
        </w:rPr>
        <w:t xml:space="preserve"> </w:t>
      </w:r>
      <w:r w:rsidR="009B6C37" w:rsidRPr="00463C03">
        <w:rPr>
          <w:sz w:val="28"/>
          <w:szCs w:val="28"/>
        </w:rPr>
        <w:t>ПРИКАЗЫВАЮ</w:t>
      </w:r>
      <w:r w:rsidR="009B6C37">
        <w:rPr>
          <w:sz w:val="28"/>
          <w:szCs w:val="28"/>
        </w:rPr>
        <w:t>:</w:t>
      </w:r>
    </w:p>
    <w:p w:rsidR="000008C3" w:rsidRDefault="009B6C37" w:rsidP="004E6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64D8">
        <w:rPr>
          <w:sz w:val="28"/>
          <w:szCs w:val="28"/>
        </w:rPr>
        <w:t xml:space="preserve">Внести в приказ министерства культуры Саратовской области </w:t>
      </w:r>
      <w:r w:rsidR="00FE6394">
        <w:rPr>
          <w:sz w:val="28"/>
          <w:szCs w:val="28"/>
        </w:rPr>
        <w:br/>
      </w:r>
      <w:r w:rsidR="004E64D8">
        <w:rPr>
          <w:sz w:val="28"/>
          <w:szCs w:val="28"/>
        </w:rPr>
        <w:t xml:space="preserve">от </w:t>
      </w:r>
      <w:r w:rsidR="003D4AC0">
        <w:rPr>
          <w:sz w:val="28"/>
          <w:szCs w:val="28"/>
        </w:rPr>
        <w:t>6</w:t>
      </w:r>
      <w:r w:rsidR="004E64D8">
        <w:rPr>
          <w:sz w:val="28"/>
          <w:szCs w:val="28"/>
        </w:rPr>
        <w:t xml:space="preserve"> </w:t>
      </w:r>
      <w:r w:rsidR="003D4AC0">
        <w:rPr>
          <w:sz w:val="28"/>
          <w:szCs w:val="28"/>
        </w:rPr>
        <w:t>октября</w:t>
      </w:r>
      <w:r w:rsidR="0025378A">
        <w:rPr>
          <w:sz w:val="28"/>
          <w:szCs w:val="28"/>
        </w:rPr>
        <w:t xml:space="preserve"> </w:t>
      </w:r>
      <w:r w:rsidR="004E64D8">
        <w:rPr>
          <w:sz w:val="28"/>
          <w:szCs w:val="28"/>
        </w:rPr>
        <w:t>201</w:t>
      </w:r>
      <w:r w:rsidR="0025378A">
        <w:rPr>
          <w:sz w:val="28"/>
          <w:szCs w:val="28"/>
        </w:rPr>
        <w:t>4</w:t>
      </w:r>
      <w:r w:rsidR="004E64D8">
        <w:rPr>
          <w:sz w:val="28"/>
          <w:szCs w:val="28"/>
        </w:rPr>
        <w:t xml:space="preserve"> года № 01-11/</w:t>
      </w:r>
      <w:r w:rsidR="003D4AC0">
        <w:rPr>
          <w:sz w:val="28"/>
          <w:szCs w:val="28"/>
        </w:rPr>
        <w:t>471</w:t>
      </w:r>
      <w:r w:rsidR="004E64D8">
        <w:rPr>
          <w:sz w:val="28"/>
          <w:szCs w:val="28"/>
        </w:rPr>
        <w:t xml:space="preserve"> «</w:t>
      </w:r>
      <w:r w:rsidR="003D4AC0" w:rsidRPr="003D4AC0">
        <w:rPr>
          <w:sz w:val="28"/>
          <w:szCs w:val="28"/>
        </w:rPr>
        <w:t xml:space="preserve">О создании комиссии по оценке последствий принятия решения о реконструкции, модернизации, </w:t>
      </w:r>
      <w:r w:rsidR="00FE6394">
        <w:rPr>
          <w:sz w:val="28"/>
          <w:szCs w:val="28"/>
        </w:rPr>
        <w:br/>
      </w:r>
      <w:r w:rsidR="003D4AC0" w:rsidRPr="003D4AC0">
        <w:rPr>
          <w:sz w:val="28"/>
          <w:szCs w:val="28"/>
        </w:rPr>
        <w:t>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 закрепленных за ними объектов собственности, а также о реорганизации или ликвидации государственных учреждений культуры области, образующих социальную инфраструктуру для детей, и подготовки ею заключений</w:t>
      </w:r>
      <w:r w:rsidR="004E64D8">
        <w:rPr>
          <w:sz w:val="28"/>
          <w:szCs w:val="28"/>
        </w:rPr>
        <w:t>»</w:t>
      </w:r>
      <w:r w:rsidR="000008C3">
        <w:rPr>
          <w:sz w:val="28"/>
          <w:szCs w:val="28"/>
        </w:rPr>
        <w:t xml:space="preserve"> следующие изменения:</w:t>
      </w:r>
    </w:p>
    <w:p w:rsidR="000008C3" w:rsidRDefault="000008C3" w:rsidP="00D23527">
      <w:pPr>
        <w:autoSpaceDE w:val="0"/>
        <w:autoSpaceDN w:val="0"/>
        <w:adjustRightInd w:val="0"/>
        <w:ind w:left="540" w:firstLine="169"/>
        <w:jc w:val="both"/>
        <w:rPr>
          <w:bCs/>
          <w:sz w:val="28"/>
          <w:szCs w:val="28"/>
        </w:rPr>
      </w:pPr>
      <w:hyperlink r:id="rId9" w:history="1">
        <w:r w:rsidRPr="000008C3">
          <w:rPr>
            <w:bCs/>
            <w:sz w:val="28"/>
            <w:szCs w:val="28"/>
          </w:rPr>
          <w:t>наименование</w:t>
        </w:r>
      </w:hyperlink>
      <w:r w:rsidRPr="000008C3">
        <w:rPr>
          <w:bCs/>
          <w:sz w:val="28"/>
          <w:szCs w:val="28"/>
        </w:rPr>
        <w:t xml:space="preserve"> </w:t>
      </w:r>
      <w:r w:rsidR="002C5A79">
        <w:rPr>
          <w:bCs/>
          <w:sz w:val="28"/>
          <w:szCs w:val="28"/>
        </w:rPr>
        <w:t xml:space="preserve">приказа </w:t>
      </w:r>
      <w:r>
        <w:rPr>
          <w:bCs/>
          <w:sz w:val="28"/>
          <w:szCs w:val="28"/>
        </w:rPr>
        <w:t>изложить в следующей редакции:</w:t>
      </w:r>
    </w:p>
    <w:p w:rsidR="000008C3" w:rsidRDefault="000008C3" w:rsidP="00000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«О с</w:t>
      </w:r>
      <w:r>
        <w:rPr>
          <w:sz w:val="28"/>
          <w:szCs w:val="28"/>
        </w:rPr>
        <w:t>оздании комиссии</w:t>
      </w:r>
      <w:r>
        <w:rPr>
          <w:sz w:val="28"/>
          <w:szCs w:val="28"/>
        </w:rPr>
        <w:t xml:space="preserve"> по оценке последствий принятия решения </w:t>
      </w:r>
      <w:r w:rsidR="00D23527">
        <w:rPr>
          <w:sz w:val="28"/>
          <w:szCs w:val="28"/>
        </w:rPr>
        <w:br/>
      </w:r>
      <w:r>
        <w:rPr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</w:t>
      </w:r>
      <w:r w:rsidR="00D23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безвозмездного пользования</w:t>
      </w:r>
      <w:r>
        <w:rPr>
          <w:sz w:val="28"/>
          <w:szCs w:val="28"/>
        </w:rPr>
        <w:t xml:space="preserve"> </w:t>
      </w:r>
      <w:r w:rsidR="00D23527">
        <w:rPr>
          <w:sz w:val="28"/>
          <w:szCs w:val="28"/>
        </w:rPr>
        <w:t>закрепленных</w:t>
      </w:r>
      <w:r w:rsidR="00D23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ними объектов собственности, </w:t>
      </w:r>
      <w:r w:rsidR="00D23527">
        <w:rPr>
          <w:sz w:val="28"/>
          <w:szCs w:val="28"/>
        </w:rPr>
        <w:br/>
      </w:r>
      <w:r>
        <w:rPr>
          <w:sz w:val="28"/>
          <w:szCs w:val="28"/>
        </w:rPr>
        <w:t xml:space="preserve">а также о реорганизации или ликвидации государственных учреждений культуры области, образующих социальную инфраструктуру для детей, </w:t>
      </w:r>
      <w:r w:rsidR="00D23527">
        <w:rPr>
          <w:sz w:val="28"/>
          <w:szCs w:val="28"/>
        </w:rPr>
        <w:br/>
      </w:r>
      <w:r>
        <w:rPr>
          <w:sz w:val="28"/>
          <w:szCs w:val="28"/>
        </w:rPr>
        <w:t>и под</w:t>
      </w:r>
      <w:r w:rsidR="00FE6394">
        <w:rPr>
          <w:sz w:val="28"/>
          <w:szCs w:val="28"/>
        </w:rPr>
        <w:t>готовки ею заключений;</w:t>
      </w:r>
    </w:p>
    <w:p w:rsidR="00D23527" w:rsidRDefault="00D23527" w:rsidP="00000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первый изложить в следующей редакции:</w:t>
      </w:r>
    </w:p>
    <w:p w:rsidR="00D23527" w:rsidRDefault="00D23527" w:rsidP="00D23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1. Создать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договоров безвозмездного пользования закрепленных за ними объектов собственности, а также о реорганизации или ликвидации государственных учреждений культуры области, образующих социальную инфраструктуру для детей, и подготовки ею заключений, в </w:t>
      </w:r>
      <w:hyperlink r:id="rId10" w:history="1">
        <w:r w:rsidRPr="00D23527">
          <w:rPr>
            <w:sz w:val="28"/>
            <w:szCs w:val="28"/>
          </w:rPr>
          <w:t>составе</w:t>
        </w:r>
      </w:hyperlink>
      <w:r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»;</w:t>
      </w:r>
    </w:p>
    <w:p w:rsidR="00D23527" w:rsidRDefault="00D23527" w:rsidP="00D23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второй</w:t>
      </w:r>
      <w:r w:rsidRPr="00D2352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23527" w:rsidRDefault="00D23527" w:rsidP="00D23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2. Утвердить </w:t>
      </w:r>
      <w:hyperlink r:id="rId11" w:history="1">
        <w:r w:rsidRPr="00D23527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</w:t>
      </w:r>
      <w:r>
        <w:rPr>
          <w:sz w:val="28"/>
          <w:szCs w:val="28"/>
        </w:rPr>
        <w:t>, договоров безвозмездного пользования</w:t>
      </w:r>
      <w:r>
        <w:rPr>
          <w:sz w:val="28"/>
          <w:szCs w:val="28"/>
        </w:rPr>
        <w:t xml:space="preserve"> закрепленных за ними объектов собственности, а также о реорганизации или ликвидации государственных учреждений культуры области, образующих социальную инфраструктуру для детей, и подготовки ею з</w:t>
      </w:r>
      <w:r>
        <w:rPr>
          <w:sz w:val="28"/>
          <w:szCs w:val="28"/>
        </w:rPr>
        <w:t>аключений, согласно приложению 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»;</w:t>
      </w:r>
    </w:p>
    <w:p w:rsidR="0025378A" w:rsidRDefault="00D23527" w:rsidP="00D23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2C5A79">
          <w:rPr>
            <w:sz w:val="28"/>
            <w:szCs w:val="28"/>
          </w:rPr>
          <w:t>приложения №</w:t>
        </w:r>
        <w:r w:rsidRPr="00D23527">
          <w:rPr>
            <w:sz w:val="28"/>
            <w:szCs w:val="28"/>
          </w:rPr>
          <w:t xml:space="preserve"> 1</w:t>
        </w:r>
      </w:hyperlink>
      <w:r w:rsidRPr="00D23527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hyperlink r:id="rId13" w:history="1"/>
      <w:r w:rsidRPr="00D23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</w:t>
      </w:r>
      <w:hyperlink r:id="rId14" w:history="1">
        <w:r>
          <w:rPr>
            <w:sz w:val="28"/>
            <w:szCs w:val="28"/>
          </w:rPr>
          <w:t>приложениям №</w:t>
        </w:r>
        <w:r w:rsidRPr="00D23527">
          <w:rPr>
            <w:sz w:val="28"/>
            <w:szCs w:val="28"/>
          </w:rPr>
          <w:t xml:space="preserve"> 1</w:t>
        </w:r>
      </w:hyperlink>
      <w:r w:rsidRPr="00D23527">
        <w:rPr>
          <w:sz w:val="28"/>
          <w:szCs w:val="28"/>
        </w:rPr>
        <w:t xml:space="preserve">, </w:t>
      </w:r>
      <w:hyperlink r:id="rId15" w:history="1">
        <w:r w:rsidRPr="00D23527">
          <w:rPr>
            <w:sz w:val="28"/>
            <w:szCs w:val="28"/>
          </w:rPr>
          <w:t>2</w:t>
        </w:r>
      </w:hyperlink>
      <w:r w:rsidR="003D4AC0">
        <w:rPr>
          <w:sz w:val="28"/>
          <w:szCs w:val="28"/>
        </w:rPr>
        <w:t>.</w:t>
      </w:r>
    </w:p>
    <w:p w:rsidR="009B6C37" w:rsidRDefault="00722321" w:rsidP="009E0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организационной работы и информационных технологий </w:t>
      </w:r>
      <w:r w:rsidR="001D5A99">
        <w:rPr>
          <w:sz w:val="28"/>
          <w:szCs w:val="28"/>
        </w:rPr>
        <w:t xml:space="preserve">министерства культуры области </w:t>
      </w:r>
      <w:r>
        <w:rPr>
          <w:sz w:val="28"/>
          <w:szCs w:val="28"/>
        </w:rPr>
        <w:t xml:space="preserve">(Курбатова Л.В.) разместить приказ </w:t>
      </w:r>
      <w:r w:rsidR="00A079FD">
        <w:rPr>
          <w:sz w:val="28"/>
          <w:szCs w:val="28"/>
        </w:rPr>
        <w:br/>
      </w:r>
      <w:r>
        <w:rPr>
          <w:sz w:val="28"/>
          <w:szCs w:val="28"/>
        </w:rPr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E1428A" w:rsidRDefault="00722321" w:rsidP="00E81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155E">
        <w:rPr>
          <w:sz w:val="28"/>
          <w:szCs w:val="28"/>
        </w:rPr>
        <w:t>Контроль за исполнением настоящего приказа оставляю за собой.</w:t>
      </w:r>
    </w:p>
    <w:p w:rsidR="00463C03" w:rsidRDefault="00463C03" w:rsidP="009E0FF2">
      <w:pPr>
        <w:jc w:val="both"/>
        <w:rPr>
          <w:b/>
          <w:sz w:val="28"/>
        </w:rPr>
      </w:pPr>
    </w:p>
    <w:p w:rsidR="00C95ACD" w:rsidRDefault="00C95ACD" w:rsidP="009E0FF2">
      <w:pPr>
        <w:jc w:val="both"/>
        <w:rPr>
          <w:b/>
          <w:sz w:val="28"/>
        </w:rPr>
      </w:pPr>
    </w:p>
    <w:p w:rsidR="00C95ACD" w:rsidRDefault="00C95ACD" w:rsidP="009E0FF2">
      <w:pPr>
        <w:jc w:val="both"/>
        <w:rPr>
          <w:b/>
          <w:sz w:val="28"/>
        </w:rPr>
      </w:pPr>
    </w:p>
    <w:p w:rsidR="00BD3BEE" w:rsidRDefault="00533C1E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2359">
        <w:rPr>
          <w:b/>
          <w:sz w:val="28"/>
        </w:rPr>
        <w:t xml:space="preserve">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0FDE">
        <w:rPr>
          <w:b/>
          <w:sz w:val="28"/>
        </w:rPr>
        <w:t xml:space="preserve">               </w:t>
      </w:r>
      <w:r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 </w:t>
      </w:r>
      <w:r w:rsidR="00E8155E">
        <w:rPr>
          <w:b/>
          <w:sz w:val="28"/>
        </w:rPr>
        <w:t xml:space="preserve">            </w:t>
      </w:r>
      <w:r w:rsidR="002B2359">
        <w:rPr>
          <w:b/>
          <w:sz w:val="28"/>
        </w:rPr>
        <w:t xml:space="preserve">  </w:t>
      </w:r>
      <w:r w:rsidR="005636B9">
        <w:rPr>
          <w:b/>
          <w:sz w:val="28"/>
        </w:rPr>
        <w:t>Т.А. Гаранина</w:t>
      </w:r>
    </w:p>
    <w:p w:rsidR="00BD3BEE" w:rsidRDefault="00BD3BEE">
      <w:pPr>
        <w:rPr>
          <w:b/>
          <w:sz w:val="28"/>
        </w:rPr>
      </w:pPr>
      <w:r>
        <w:rPr>
          <w:b/>
          <w:sz w:val="28"/>
        </w:rPr>
        <w:br w:type="page"/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Приложение</w:t>
      </w:r>
      <w:r w:rsidR="002C5A79">
        <w:rPr>
          <w:sz w:val="28"/>
        </w:rPr>
        <w:t xml:space="preserve"> № 1</w:t>
      </w:r>
      <w:r>
        <w:rPr>
          <w:sz w:val="28"/>
        </w:rPr>
        <w:t xml:space="preserve"> </w:t>
      </w:r>
    </w:p>
    <w:p w:rsidR="00EC281A" w:rsidRDefault="00EC281A" w:rsidP="00EC281A">
      <w:pPr>
        <w:ind w:left="4536"/>
        <w:jc w:val="both"/>
        <w:rPr>
          <w:sz w:val="28"/>
        </w:rPr>
      </w:pPr>
      <w:bookmarkStart w:id="0" w:name="_GoBack"/>
      <w:r>
        <w:rPr>
          <w:sz w:val="28"/>
        </w:rPr>
        <w:t>к приказу министерства культуры</w:t>
      </w:r>
    </w:p>
    <w:bookmarkEnd w:id="0"/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от «__»______201</w:t>
      </w:r>
      <w:r w:rsidR="002C5A79">
        <w:rPr>
          <w:sz w:val="28"/>
        </w:rPr>
        <w:t>9</w:t>
      </w:r>
      <w:r>
        <w:rPr>
          <w:sz w:val="28"/>
        </w:rPr>
        <w:t xml:space="preserve"> г. № __________</w:t>
      </w:r>
    </w:p>
    <w:p w:rsidR="00EC281A" w:rsidRDefault="00EC281A" w:rsidP="00EC281A">
      <w:pPr>
        <w:ind w:left="4536"/>
        <w:jc w:val="both"/>
        <w:rPr>
          <w:sz w:val="28"/>
        </w:rPr>
      </w:pP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«Приложение № 1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 xml:space="preserve">к приказу министерства культуры 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от 6 октября 2014 года № 01-11/471</w:t>
      </w:r>
    </w:p>
    <w:p w:rsidR="00EC281A" w:rsidRDefault="00EC281A" w:rsidP="00EC281A">
      <w:pPr>
        <w:jc w:val="both"/>
        <w:rPr>
          <w:sz w:val="28"/>
        </w:rPr>
      </w:pPr>
    </w:p>
    <w:p w:rsidR="00EC281A" w:rsidRPr="00BD3BEE" w:rsidRDefault="00EC281A" w:rsidP="00EC281A">
      <w:pPr>
        <w:jc w:val="center"/>
        <w:rPr>
          <w:b/>
          <w:sz w:val="28"/>
        </w:rPr>
      </w:pPr>
      <w:r w:rsidRPr="00BD3BEE">
        <w:rPr>
          <w:b/>
          <w:sz w:val="28"/>
        </w:rPr>
        <w:t>Состав</w:t>
      </w:r>
    </w:p>
    <w:p w:rsidR="00EC281A" w:rsidRPr="00BD3BEE" w:rsidRDefault="00EC281A" w:rsidP="00EC281A">
      <w:pPr>
        <w:jc w:val="center"/>
        <w:rPr>
          <w:b/>
          <w:sz w:val="28"/>
        </w:rPr>
      </w:pPr>
      <w:r w:rsidRPr="00BD3BEE">
        <w:rPr>
          <w:b/>
          <w:sz w:val="28"/>
        </w:rPr>
        <w:t xml:space="preserve">комиссии по </w:t>
      </w:r>
      <w:r>
        <w:rPr>
          <w:b/>
          <w:sz w:val="28"/>
        </w:rPr>
        <w:t>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</w:t>
      </w:r>
      <w:r w:rsidR="004A1980">
        <w:rPr>
          <w:b/>
          <w:sz w:val="28"/>
        </w:rPr>
        <w:t xml:space="preserve">, </w:t>
      </w:r>
      <w:r w:rsidR="004A1980" w:rsidRPr="004A1980">
        <w:rPr>
          <w:b/>
          <w:sz w:val="28"/>
          <w:szCs w:val="28"/>
        </w:rPr>
        <w:t>договоров безвозмездного пользования</w:t>
      </w:r>
      <w:r w:rsidR="004A1980">
        <w:rPr>
          <w:sz w:val="28"/>
          <w:szCs w:val="28"/>
        </w:rPr>
        <w:t xml:space="preserve"> </w:t>
      </w:r>
      <w:r>
        <w:rPr>
          <w:b/>
          <w:sz w:val="28"/>
        </w:rPr>
        <w:t>закрепленных за ними объектов собственности, а также о реорганизации или ликвидации государственных учреждений культуры области, образующих социальную инфраструктуру для детей и подготовки ею заключений</w:t>
      </w:r>
    </w:p>
    <w:p w:rsidR="00EC281A" w:rsidRDefault="00EC281A" w:rsidP="00EC281A">
      <w:pPr>
        <w:rPr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Гаранина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Татьяна Анатольевна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министр культуры области, председатель комиссии;</w:t>
            </w:r>
          </w:p>
        </w:tc>
      </w:tr>
      <w:tr w:rsidR="00EC281A" w:rsidTr="006E7670">
        <w:tc>
          <w:tcPr>
            <w:tcW w:w="9344" w:type="dxa"/>
            <w:gridSpan w:val="2"/>
          </w:tcPr>
          <w:p w:rsidR="00EC281A" w:rsidRDefault="00EC281A" w:rsidP="006E7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комиссии: </w:t>
            </w:r>
          </w:p>
          <w:p w:rsidR="00EC281A" w:rsidRDefault="00EC281A" w:rsidP="006E7670">
            <w:pPr>
              <w:jc w:val="center"/>
              <w:rPr>
                <w:sz w:val="28"/>
              </w:rPr>
            </w:pP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Каляева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Светлана Алексеевна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заместитель министра культуры области;</w:t>
            </w: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Емельянова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Марина Андреевна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  <w:r w:rsidRPr="00BD3BEE">
              <w:rPr>
                <w:sz w:val="28"/>
              </w:rPr>
              <w:t>начальник отдела правовой и кадровой работы министерства культуры области;</w:t>
            </w:r>
          </w:p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Водянникова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Лариса Сергеевна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референт </w:t>
            </w:r>
            <w:r w:rsidRPr="00BD3BEE">
              <w:rPr>
                <w:sz w:val="28"/>
              </w:rPr>
              <w:t>отдела правовой и кадровой работы министерства культуры области;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Кадурина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Инна Евгеньевна 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 w:rsidRPr="00BD3BEE">
              <w:rPr>
                <w:sz w:val="28"/>
              </w:rPr>
              <w:t>начальник отдела профессионального искусства и образования министерства культуры области;</w:t>
            </w: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Познякова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 w:rsidRPr="00BD3BEE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взаимодействия с учреждениями культуры</w:t>
            </w:r>
            <w:r w:rsidRPr="00BD3BEE">
              <w:rPr>
                <w:sz w:val="28"/>
              </w:rPr>
              <w:t xml:space="preserve"> министерства культуры области;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</w:tr>
      <w:tr w:rsidR="00EC281A" w:rsidTr="004A1980">
        <w:trPr>
          <w:trHeight w:val="80"/>
        </w:trPr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Скворцова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Надежда Николаевна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 w:rsidRPr="00BD3BEE">
              <w:rPr>
                <w:sz w:val="28"/>
              </w:rPr>
              <w:t xml:space="preserve">директор государственного профессионального образовательного учреждения </w:t>
            </w:r>
            <w:r>
              <w:rPr>
                <w:sz w:val="28"/>
              </w:rPr>
              <w:t>«</w:t>
            </w:r>
            <w:r w:rsidRPr="00BD3BEE">
              <w:rPr>
                <w:sz w:val="28"/>
              </w:rPr>
              <w:t>Саратовский областной колледж искусств</w:t>
            </w:r>
            <w:r>
              <w:rPr>
                <w:sz w:val="28"/>
              </w:rPr>
              <w:t>»</w:t>
            </w:r>
            <w:r w:rsidR="004A1980">
              <w:rPr>
                <w:sz w:val="28"/>
              </w:rPr>
              <w:t>.».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</w:tr>
    </w:tbl>
    <w:p w:rsidR="00463C03" w:rsidRDefault="00BD3BEE" w:rsidP="00BD3BEE">
      <w:pPr>
        <w:ind w:left="4536"/>
        <w:jc w:val="both"/>
        <w:rPr>
          <w:sz w:val="28"/>
        </w:rPr>
      </w:pPr>
      <w:r>
        <w:rPr>
          <w:sz w:val="28"/>
        </w:rPr>
        <w:t xml:space="preserve">Приложение </w:t>
      </w:r>
      <w:r w:rsidR="00D23527">
        <w:rPr>
          <w:sz w:val="28"/>
        </w:rPr>
        <w:t>№2</w:t>
      </w:r>
    </w:p>
    <w:p w:rsidR="00BD3BEE" w:rsidRDefault="00BD3BEE" w:rsidP="00BD3BEE">
      <w:pPr>
        <w:ind w:left="4536"/>
        <w:jc w:val="both"/>
        <w:rPr>
          <w:sz w:val="28"/>
        </w:rPr>
      </w:pPr>
      <w:r>
        <w:rPr>
          <w:sz w:val="28"/>
        </w:rPr>
        <w:t>к приказу министерства культуры</w:t>
      </w:r>
    </w:p>
    <w:p w:rsidR="00BD3BEE" w:rsidRDefault="00BD3BEE" w:rsidP="00BD3BEE">
      <w:pPr>
        <w:ind w:left="4536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BD3BEE" w:rsidRDefault="00BD3BEE" w:rsidP="00BD3BEE">
      <w:pPr>
        <w:ind w:left="4536"/>
        <w:jc w:val="both"/>
        <w:rPr>
          <w:sz w:val="28"/>
        </w:rPr>
      </w:pPr>
      <w:r>
        <w:rPr>
          <w:sz w:val="28"/>
        </w:rPr>
        <w:t>от «__»______201</w:t>
      </w:r>
      <w:r w:rsidR="000008C3">
        <w:rPr>
          <w:sz w:val="28"/>
        </w:rPr>
        <w:t>9</w:t>
      </w:r>
      <w:r>
        <w:rPr>
          <w:sz w:val="28"/>
        </w:rPr>
        <w:t xml:space="preserve"> г. № __________</w:t>
      </w:r>
    </w:p>
    <w:p w:rsidR="00BD3BEE" w:rsidRDefault="00BD3BEE" w:rsidP="00BD3BEE">
      <w:pPr>
        <w:ind w:left="4536"/>
        <w:jc w:val="both"/>
        <w:rPr>
          <w:sz w:val="28"/>
        </w:rPr>
      </w:pPr>
    </w:p>
    <w:p w:rsidR="00BD3BEE" w:rsidRDefault="00BD3BEE" w:rsidP="00BD3BEE">
      <w:pPr>
        <w:ind w:left="4536"/>
        <w:jc w:val="both"/>
        <w:rPr>
          <w:sz w:val="28"/>
        </w:rPr>
      </w:pPr>
      <w:r>
        <w:rPr>
          <w:sz w:val="28"/>
        </w:rPr>
        <w:t xml:space="preserve">«Приложение № </w:t>
      </w:r>
      <w:r w:rsidR="000008C3">
        <w:rPr>
          <w:sz w:val="28"/>
        </w:rPr>
        <w:t>2</w:t>
      </w:r>
    </w:p>
    <w:p w:rsidR="00BD3BEE" w:rsidRDefault="00BD3BEE" w:rsidP="00BD3BEE">
      <w:pPr>
        <w:ind w:left="4536"/>
        <w:jc w:val="both"/>
        <w:rPr>
          <w:sz w:val="28"/>
        </w:rPr>
      </w:pPr>
      <w:r>
        <w:rPr>
          <w:sz w:val="28"/>
        </w:rPr>
        <w:t xml:space="preserve">к приказу министерства культуры </w:t>
      </w:r>
    </w:p>
    <w:p w:rsidR="00BD3BEE" w:rsidRDefault="00BD3BEE" w:rsidP="00BD3BEE">
      <w:pPr>
        <w:ind w:left="4536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BD3BEE" w:rsidRDefault="00BD3BEE" w:rsidP="00BD3BEE">
      <w:pPr>
        <w:ind w:left="4536"/>
        <w:jc w:val="both"/>
        <w:rPr>
          <w:sz w:val="28"/>
        </w:rPr>
      </w:pPr>
      <w:r>
        <w:rPr>
          <w:sz w:val="28"/>
        </w:rPr>
        <w:t xml:space="preserve">от </w:t>
      </w:r>
      <w:r w:rsidR="003D4AC0">
        <w:rPr>
          <w:sz w:val="28"/>
        </w:rPr>
        <w:t>6</w:t>
      </w:r>
      <w:r>
        <w:rPr>
          <w:sz w:val="28"/>
        </w:rPr>
        <w:t xml:space="preserve"> </w:t>
      </w:r>
      <w:r w:rsidR="003D4AC0">
        <w:rPr>
          <w:sz w:val="28"/>
        </w:rPr>
        <w:t>октября</w:t>
      </w:r>
      <w:r>
        <w:rPr>
          <w:sz w:val="28"/>
        </w:rPr>
        <w:t xml:space="preserve"> </w:t>
      </w:r>
      <w:r w:rsidR="003D4AC0">
        <w:rPr>
          <w:sz w:val="28"/>
        </w:rPr>
        <w:t>2014 года № 01-11/471</w:t>
      </w:r>
    </w:p>
    <w:p w:rsidR="00BD3BEE" w:rsidRDefault="00BD3BEE" w:rsidP="00BD3BEE">
      <w:pPr>
        <w:jc w:val="both"/>
        <w:rPr>
          <w:sz w:val="28"/>
        </w:rPr>
      </w:pPr>
    </w:p>
    <w:p w:rsidR="000008C3" w:rsidRDefault="000008C3" w:rsidP="000008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8C3" w:rsidRPr="000D636F" w:rsidRDefault="000008C3" w:rsidP="000008C3">
      <w:pPr>
        <w:autoSpaceDE w:val="0"/>
        <w:autoSpaceDN w:val="0"/>
        <w:adjustRightInd w:val="0"/>
        <w:ind w:firstLine="5040"/>
        <w:outlineLvl w:val="0"/>
        <w:rPr>
          <w:sz w:val="28"/>
          <w:szCs w:val="28"/>
        </w:rPr>
      </w:pPr>
    </w:p>
    <w:p w:rsidR="000008C3" w:rsidRPr="000F04B3" w:rsidRDefault="000008C3" w:rsidP="000008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4B3">
        <w:rPr>
          <w:b/>
          <w:bCs/>
          <w:sz w:val="28"/>
          <w:szCs w:val="28"/>
        </w:rPr>
        <w:t>Положение</w:t>
      </w:r>
    </w:p>
    <w:p w:rsidR="000008C3" w:rsidRDefault="000008C3" w:rsidP="000008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20C8">
        <w:rPr>
          <w:b/>
          <w:bCs/>
          <w:sz w:val="28"/>
          <w:szCs w:val="28"/>
        </w:rPr>
        <w:t xml:space="preserve">о </w:t>
      </w:r>
      <w:r w:rsidRPr="006220C8">
        <w:rPr>
          <w:b/>
          <w:sz w:val="28"/>
          <w:szCs w:val="28"/>
        </w:rPr>
        <w:t>комиссии</w:t>
      </w:r>
      <w:r w:rsidRPr="006220C8">
        <w:rPr>
          <w:b/>
          <w:bCs/>
          <w:sz w:val="28"/>
          <w:szCs w:val="28"/>
        </w:rPr>
        <w:t xml:space="preserve"> по оценке последствий принятия решения </w:t>
      </w:r>
      <w:r w:rsidRPr="006220C8">
        <w:rPr>
          <w:b/>
          <w:bCs/>
          <w:sz w:val="28"/>
          <w:szCs w:val="28"/>
        </w:rPr>
        <w:br/>
        <w:t>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</w:t>
      </w:r>
      <w:r w:rsidR="00AE2FFC">
        <w:rPr>
          <w:b/>
          <w:bCs/>
          <w:sz w:val="28"/>
          <w:szCs w:val="28"/>
        </w:rPr>
        <w:t>, договоров безвозмездного пользования</w:t>
      </w:r>
      <w:r w:rsidRPr="006220C8">
        <w:rPr>
          <w:b/>
          <w:bCs/>
          <w:sz w:val="28"/>
          <w:szCs w:val="28"/>
        </w:rPr>
        <w:t xml:space="preserve"> закрепленных за ними объектов собственности, а также о реорганизации или ликвидации государственных учреждений культуры области, образующих социал</w:t>
      </w:r>
      <w:r>
        <w:rPr>
          <w:b/>
          <w:bCs/>
          <w:sz w:val="28"/>
          <w:szCs w:val="28"/>
        </w:rPr>
        <w:t xml:space="preserve">ьную инфраструктуру для детей, </w:t>
      </w:r>
      <w:r w:rsidRPr="006220C8">
        <w:rPr>
          <w:b/>
          <w:bCs/>
          <w:sz w:val="28"/>
          <w:szCs w:val="28"/>
        </w:rPr>
        <w:t>и подготовки ею заключений</w:t>
      </w:r>
    </w:p>
    <w:p w:rsidR="000008C3" w:rsidRDefault="000008C3" w:rsidP="000008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1. Настоящее Положение определяет порядок создания и работы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</w:t>
      </w:r>
      <w:r w:rsidR="0004255C">
        <w:rPr>
          <w:bCs/>
          <w:sz w:val="28"/>
          <w:szCs w:val="28"/>
        </w:rPr>
        <w:t>, договоров безвозмездного пользования</w:t>
      </w:r>
      <w:r w:rsidRPr="000008C3">
        <w:rPr>
          <w:bCs/>
          <w:sz w:val="28"/>
          <w:szCs w:val="28"/>
        </w:rPr>
        <w:t xml:space="preserve"> закрепленных за ними объектов собственности, а также о реорганизации или ликвидации государственных учреждений культуры области, образующих социальную инфраструктуру для детей, и подготовки ею заключений (далее - Комиссия).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2. 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3. Положение о Комиссии и ее персональный состав утверждается приказом министерства культуры области.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4. В состав Комиссии включаются представители министерства культуры области, по согласованию в состав комиссии могут быть включены представители контролирующих органов в сфере использования объекта социальной инфраструктуры для детей или деятельности организации, представители соответствующей областной государственной организации, представители общественных организаций (объединений) в сфере использования объекта или деятельности организации.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5. 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Комиссия проводит заседания по мере необходимости.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В целях принятия обоснованного и объективного решения для участия в заседаниях Комиссии могут приглашаться эксперты (специалисты). Эксперты (специалисты) проводят свою работу на добровольной и безвозмездной основе.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6. Комиссия осуществляет следующие функции: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а)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собственностью, о заключении государственными учреждениями культуры области, образующими социальную инфраструктуру для детей, договоров аренды</w:t>
      </w:r>
      <w:r w:rsidR="0004255C">
        <w:rPr>
          <w:bCs/>
          <w:sz w:val="28"/>
          <w:szCs w:val="28"/>
        </w:rPr>
        <w:t>, договоров безвозмездного пользования</w:t>
      </w:r>
      <w:r w:rsidRPr="000008C3">
        <w:rPr>
          <w:bCs/>
          <w:sz w:val="28"/>
          <w:szCs w:val="28"/>
        </w:rPr>
        <w:t xml:space="preserve"> закрепленных за ними объектов собственности на основании </w:t>
      </w:r>
      <w:hyperlink r:id="rId16" w:history="1">
        <w:r w:rsidRPr="0004255C">
          <w:rPr>
            <w:bCs/>
            <w:sz w:val="28"/>
            <w:szCs w:val="28"/>
          </w:rPr>
          <w:t>критериев</w:t>
        </w:r>
      </w:hyperlink>
      <w:r w:rsidRPr="0004255C">
        <w:rPr>
          <w:bCs/>
          <w:sz w:val="28"/>
          <w:szCs w:val="28"/>
        </w:rPr>
        <w:t>, у</w:t>
      </w:r>
      <w:r w:rsidRPr="000008C3">
        <w:rPr>
          <w:bCs/>
          <w:sz w:val="28"/>
          <w:szCs w:val="28"/>
        </w:rPr>
        <w:t>становленных Правилами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областной государственной организацией, муниципальной организацией, образующей социальную инфраструктуру для детей, договора аренды</w:t>
      </w:r>
      <w:r w:rsidR="0004255C">
        <w:rPr>
          <w:bCs/>
          <w:sz w:val="28"/>
          <w:szCs w:val="28"/>
        </w:rPr>
        <w:t>, договора безвозмездного пользования</w:t>
      </w:r>
      <w:r w:rsidRPr="000008C3">
        <w:rPr>
          <w:bCs/>
          <w:sz w:val="28"/>
          <w:szCs w:val="28"/>
        </w:rPr>
        <w:t xml:space="preserve"> закрепленных за ней объектов собственности, утвержденными постановлением Правительства Саратовской области от 28 августа 2014 г. </w:t>
      </w:r>
      <w:r w:rsidR="0004255C">
        <w:rPr>
          <w:bCs/>
          <w:sz w:val="28"/>
          <w:szCs w:val="28"/>
        </w:rPr>
        <w:t>№</w:t>
      </w:r>
      <w:r w:rsidRPr="000008C3">
        <w:rPr>
          <w:bCs/>
          <w:sz w:val="28"/>
          <w:szCs w:val="28"/>
        </w:rPr>
        <w:t xml:space="preserve"> 485-П (далее - критерии оценки);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 xml:space="preserve">б) готовит заключение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о заключении государственными учреждениями культуры области, образующими социальную инфраструктуру для детей, договоров </w:t>
      </w:r>
      <w:r w:rsidR="0004255C" w:rsidRPr="000008C3">
        <w:rPr>
          <w:bCs/>
          <w:sz w:val="28"/>
          <w:szCs w:val="28"/>
        </w:rPr>
        <w:t>аренды</w:t>
      </w:r>
      <w:r w:rsidR="0004255C">
        <w:rPr>
          <w:bCs/>
          <w:sz w:val="28"/>
          <w:szCs w:val="28"/>
        </w:rPr>
        <w:t>,</w:t>
      </w:r>
      <w:r w:rsidR="0004255C" w:rsidRPr="0004255C">
        <w:rPr>
          <w:bCs/>
          <w:sz w:val="28"/>
          <w:szCs w:val="28"/>
        </w:rPr>
        <w:t xml:space="preserve"> </w:t>
      </w:r>
      <w:r w:rsidR="0004255C">
        <w:rPr>
          <w:bCs/>
          <w:sz w:val="28"/>
          <w:szCs w:val="28"/>
        </w:rPr>
        <w:t>договоров безвозмездного пользования</w:t>
      </w:r>
      <w:r w:rsidR="0004255C">
        <w:rPr>
          <w:bCs/>
          <w:sz w:val="28"/>
          <w:szCs w:val="28"/>
        </w:rPr>
        <w:t xml:space="preserve">  </w:t>
      </w:r>
      <w:r w:rsidRPr="000008C3">
        <w:rPr>
          <w:bCs/>
          <w:sz w:val="28"/>
          <w:szCs w:val="28"/>
        </w:rPr>
        <w:t xml:space="preserve"> закрепленных за ними объектов собственности (далее - заключение);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 xml:space="preserve">в) проводит оценку последствий принятия решения на основании </w:t>
      </w:r>
      <w:hyperlink r:id="rId17" w:history="1">
        <w:r w:rsidRPr="0004255C">
          <w:rPr>
            <w:bCs/>
            <w:sz w:val="28"/>
            <w:szCs w:val="28"/>
          </w:rPr>
          <w:t>критериев</w:t>
        </w:r>
      </w:hyperlink>
      <w:r w:rsidRPr="000008C3">
        <w:rPr>
          <w:bCs/>
          <w:sz w:val="28"/>
          <w:szCs w:val="28"/>
        </w:rPr>
        <w:t xml:space="preserve"> оценки;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г) готовит заключение об оценке последствий принятия решения.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7. Комиссия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</w:t>
      </w:r>
      <w:r w:rsidR="0004255C">
        <w:rPr>
          <w:bCs/>
          <w:sz w:val="28"/>
          <w:szCs w:val="28"/>
        </w:rPr>
        <w:t xml:space="preserve">, </w:t>
      </w:r>
      <w:r w:rsidR="0004255C">
        <w:rPr>
          <w:bCs/>
          <w:sz w:val="28"/>
          <w:szCs w:val="28"/>
        </w:rPr>
        <w:t>договоров безвозмездного пользования</w:t>
      </w:r>
      <w:r w:rsidR="0004255C">
        <w:rPr>
          <w:bCs/>
          <w:sz w:val="28"/>
          <w:szCs w:val="28"/>
        </w:rPr>
        <w:t xml:space="preserve">  </w:t>
      </w:r>
      <w:r w:rsidRPr="000008C3">
        <w:rPr>
          <w:bCs/>
          <w:sz w:val="28"/>
          <w:szCs w:val="28"/>
        </w:rPr>
        <w:t xml:space="preserve"> закрепленных за ними объектов собственности, а также о реорганизации или ликвидации государственных учреждений культуры области, образующих социальную инфраструктуру для детей (далее - принятия решения), на основании на основании следующих документов: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1) предложения министерства культуры области;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2) пояснительной записки, в которой указываются: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а) полное наименование учреждения, юридический и фактический адреса, предмет и основные цели деятельности учреждения;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б) обоснование причин, необходимости и целесообразности принятия соответствующего решения;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в) обоснование возможности надлежащего обеспечения деятельности в сфере учреждения в случае принятия решения;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г) 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в случае принятия решения;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д) финансово-экономическое обоснование предлагаемых изменений.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8. Для выполнения возложенных функций Комиссия при решении вопросов, входящих в ее компетенцию, имеет право: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б) создавать рабочие группы.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9.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Заключение подготавливается и оформляется Комиссией в срок не более 30 календарных дней с даты проведения заседания Комиссии.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В случаях привлечения экспертов (специалистов) для оценки последствий принятия решения председатель Комиссии вправе продлить срок подготовки заключения, но не более чем на 30 календарных дней.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10. В заключении об оценке последствий принятия решения о реконструкции, модернизации, об изменении назначения или о ликвидации объекта а также передаче в аренду</w:t>
      </w:r>
      <w:r w:rsidR="0004255C">
        <w:rPr>
          <w:bCs/>
          <w:sz w:val="28"/>
          <w:szCs w:val="28"/>
        </w:rPr>
        <w:t xml:space="preserve"> или безвозмездное пользование</w:t>
      </w:r>
      <w:r w:rsidRPr="000008C3">
        <w:rPr>
          <w:bCs/>
          <w:sz w:val="28"/>
          <w:szCs w:val="28"/>
        </w:rPr>
        <w:t xml:space="preserve"> указываются: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а) наименование государственного учреждения культуры области;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б) наименование объекта;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в) предложение министерства культуры области о дальнейшем распоряжении объектом, которое выносилось на заседание Комиссии;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г) значения всех критериев, на основании которых оцениваются последствия реконструкции, модернизации, изменения назначения или ликвидации объекта, а также последствия заключения договора аренды</w:t>
      </w:r>
      <w:r w:rsidR="0004255C">
        <w:rPr>
          <w:bCs/>
          <w:sz w:val="28"/>
          <w:szCs w:val="28"/>
        </w:rPr>
        <w:t>, договора безвозмездного пользования</w:t>
      </w:r>
      <w:r w:rsidRPr="000008C3">
        <w:rPr>
          <w:bCs/>
          <w:sz w:val="28"/>
          <w:szCs w:val="28"/>
        </w:rPr>
        <w:t xml:space="preserve"> такого объекта;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д) решение Комиссии.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11. В заключении об оценке последствий принятия решения о реорганизации или ликвидации государственных учреждений культуры области, указываются: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а) наименование государственного учреждения культуры области;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б) предложение министерства культуры области, которое выносилось на заседание Комиссии;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в) значения всех критериев;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г) решение Комиссии.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12. Заключение Комиссии в течение 7 рабочих дней со дня подписания протокола заседания Комиссии размещается на официальном сайте министерства культуры области в информационно-телекоммуникационной сети Интернет с учетом требований законодательства Российской Федерации о государственной тайне.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13. Комиссия дает отрицательное заключение, если по итогам проведенного анализа не достигнуто хотя бы одно из значений критериев.</w:t>
      </w:r>
    </w:p>
    <w:p w:rsidR="000008C3" w:rsidRPr="000008C3" w:rsidRDefault="000008C3" w:rsidP="000008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08C3">
        <w:rPr>
          <w:bCs/>
          <w:sz w:val="28"/>
          <w:szCs w:val="28"/>
        </w:rPr>
        <w:t>14. Комиссия дает положительное заключение, если по итогам проведенного анализа достигнуты все значения критериев.</w:t>
      </w:r>
      <w:r>
        <w:rPr>
          <w:bCs/>
          <w:sz w:val="28"/>
          <w:szCs w:val="28"/>
        </w:rPr>
        <w:t>».</w:t>
      </w:r>
    </w:p>
    <w:p w:rsidR="000008C3" w:rsidRPr="000008C3" w:rsidRDefault="000008C3" w:rsidP="000008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08C3" w:rsidRDefault="000008C3" w:rsidP="000008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3BEE" w:rsidRPr="00BD3BEE" w:rsidRDefault="00BD3BEE" w:rsidP="000008C3">
      <w:pPr>
        <w:rPr>
          <w:sz w:val="28"/>
        </w:rPr>
      </w:pPr>
    </w:p>
    <w:sectPr w:rsidR="00BD3BEE" w:rsidRPr="00BD3BEE" w:rsidSect="00BB6A2F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E9" w:rsidRDefault="00E671E9" w:rsidP="002A6D91">
      <w:r>
        <w:separator/>
      </w:r>
    </w:p>
  </w:endnote>
  <w:endnote w:type="continuationSeparator" w:id="0">
    <w:p w:rsidR="00E671E9" w:rsidRDefault="00E671E9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E9" w:rsidRDefault="00E671E9" w:rsidP="002A6D91">
      <w:r>
        <w:separator/>
      </w:r>
    </w:p>
  </w:footnote>
  <w:footnote w:type="continuationSeparator" w:id="0">
    <w:p w:rsidR="00E671E9" w:rsidRDefault="00E671E9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0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6"/>
    <w:rsid w:val="000008C3"/>
    <w:rsid w:val="00001F48"/>
    <w:rsid w:val="000075D5"/>
    <w:rsid w:val="000103B2"/>
    <w:rsid w:val="00020AD9"/>
    <w:rsid w:val="000254AB"/>
    <w:rsid w:val="0003442F"/>
    <w:rsid w:val="0004255C"/>
    <w:rsid w:val="000741CB"/>
    <w:rsid w:val="00077E9B"/>
    <w:rsid w:val="000B6F67"/>
    <w:rsid w:val="000C2B21"/>
    <w:rsid w:val="000D216C"/>
    <w:rsid w:val="000E69CA"/>
    <w:rsid w:val="000F4A15"/>
    <w:rsid w:val="00106C17"/>
    <w:rsid w:val="0011166C"/>
    <w:rsid w:val="0013269B"/>
    <w:rsid w:val="0014063A"/>
    <w:rsid w:val="00155420"/>
    <w:rsid w:val="00156DEB"/>
    <w:rsid w:val="00180C19"/>
    <w:rsid w:val="00191E6C"/>
    <w:rsid w:val="0019562C"/>
    <w:rsid w:val="001A1ADD"/>
    <w:rsid w:val="001B01F6"/>
    <w:rsid w:val="001D1F8E"/>
    <w:rsid w:val="001D5A99"/>
    <w:rsid w:val="001E2699"/>
    <w:rsid w:val="001F71B6"/>
    <w:rsid w:val="00246E3F"/>
    <w:rsid w:val="0025378A"/>
    <w:rsid w:val="00272D03"/>
    <w:rsid w:val="00280684"/>
    <w:rsid w:val="002A6D91"/>
    <w:rsid w:val="002B2359"/>
    <w:rsid w:val="002C5A79"/>
    <w:rsid w:val="002D0211"/>
    <w:rsid w:val="002D0611"/>
    <w:rsid w:val="002E6D46"/>
    <w:rsid w:val="002F46DD"/>
    <w:rsid w:val="00367748"/>
    <w:rsid w:val="003B133C"/>
    <w:rsid w:val="003D4AC0"/>
    <w:rsid w:val="00415484"/>
    <w:rsid w:val="00427BD5"/>
    <w:rsid w:val="00445271"/>
    <w:rsid w:val="004461A9"/>
    <w:rsid w:val="00447B38"/>
    <w:rsid w:val="00463C03"/>
    <w:rsid w:val="0046745E"/>
    <w:rsid w:val="00467E28"/>
    <w:rsid w:val="00483C4C"/>
    <w:rsid w:val="0049364A"/>
    <w:rsid w:val="004A1980"/>
    <w:rsid w:val="004B2D8C"/>
    <w:rsid w:val="004B778C"/>
    <w:rsid w:val="004E64D8"/>
    <w:rsid w:val="004E7CB2"/>
    <w:rsid w:val="004F2FE6"/>
    <w:rsid w:val="0050584E"/>
    <w:rsid w:val="00521B33"/>
    <w:rsid w:val="005254C0"/>
    <w:rsid w:val="00533C1E"/>
    <w:rsid w:val="005365B2"/>
    <w:rsid w:val="00551CE1"/>
    <w:rsid w:val="005535F8"/>
    <w:rsid w:val="00555238"/>
    <w:rsid w:val="00555626"/>
    <w:rsid w:val="005636B9"/>
    <w:rsid w:val="00564519"/>
    <w:rsid w:val="00573E21"/>
    <w:rsid w:val="00575A41"/>
    <w:rsid w:val="0059167A"/>
    <w:rsid w:val="00592778"/>
    <w:rsid w:val="005A4B92"/>
    <w:rsid w:val="005C71FC"/>
    <w:rsid w:val="005D5ADE"/>
    <w:rsid w:val="005D7FF0"/>
    <w:rsid w:val="005E46CA"/>
    <w:rsid w:val="00603B9D"/>
    <w:rsid w:val="00611CDB"/>
    <w:rsid w:val="006120B8"/>
    <w:rsid w:val="00622C72"/>
    <w:rsid w:val="00626B52"/>
    <w:rsid w:val="0063057C"/>
    <w:rsid w:val="00635252"/>
    <w:rsid w:val="00644995"/>
    <w:rsid w:val="006722A2"/>
    <w:rsid w:val="0068352E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D5129"/>
    <w:rsid w:val="007F6A23"/>
    <w:rsid w:val="00850F3B"/>
    <w:rsid w:val="00860F1B"/>
    <w:rsid w:val="008627F2"/>
    <w:rsid w:val="00873FB4"/>
    <w:rsid w:val="00882B99"/>
    <w:rsid w:val="00882BF4"/>
    <w:rsid w:val="008858D6"/>
    <w:rsid w:val="00895DCD"/>
    <w:rsid w:val="008E2792"/>
    <w:rsid w:val="008E379C"/>
    <w:rsid w:val="008F1F73"/>
    <w:rsid w:val="009074AF"/>
    <w:rsid w:val="00925A8D"/>
    <w:rsid w:val="00936E0B"/>
    <w:rsid w:val="0094452D"/>
    <w:rsid w:val="00944D30"/>
    <w:rsid w:val="009473FD"/>
    <w:rsid w:val="0097506C"/>
    <w:rsid w:val="00984EAD"/>
    <w:rsid w:val="00990767"/>
    <w:rsid w:val="009A31F6"/>
    <w:rsid w:val="009A454E"/>
    <w:rsid w:val="009B6C37"/>
    <w:rsid w:val="009B7030"/>
    <w:rsid w:val="009C2394"/>
    <w:rsid w:val="009E004C"/>
    <w:rsid w:val="009E0FF2"/>
    <w:rsid w:val="009F05E0"/>
    <w:rsid w:val="00A0404A"/>
    <w:rsid w:val="00A079FD"/>
    <w:rsid w:val="00A116E5"/>
    <w:rsid w:val="00A13B82"/>
    <w:rsid w:val="00A2778D"/>
    <w:rsid w:val="00A37A15"/>
    <w:rsid w:val="00A37C78"/>
    <w:rsid w:val="00A47295"/>
    <w:rsid w:val="00A51097"/>
    <w:rsid w:val="00A74A61"/>
    <w:rsid w:val="00A81DB1"/>
    <w:rsid w:val="00AC74A0"/>
    <w:rsid w:val="00AE2FFC"/>
    <w:rsid w:val="00B27540"/>
    <w:rsid w:val="00B27936"/>
    <w:rsid w:val="00B31693"/>
    <w:rsid w:val="00B3278B"/>
    <w:rsid w:val="00B45AA7"/>
    <w:rsid w:val="00B51794"/>
    <w:rsid w:val="00B621F5"/>
    <w:rsid w:val="00B94944"/>
    <w:rsid w:val="00BA61B3"/>
    <w:rsid w:val="00BB3A9F"/>
    <w:rsid w:val="00BB6A2F"/>
    <w:rsid w:val="00BC5A16"/>
    <w:rsid w:val="00BD2D30"/>
    <w:rsid w:val="00BD3BEE"/>
    <w:rsid w:val="00BD718B"/>
    <w:rsid w:val="00BE014D"/>
    <w:rsid w:val="00BF7E80"/>
    <w:rsid w:val="00C07005"/>
    <w:rsid w:val="00C15859"/>
    <w:rsid w:val="00C22FD7"/>
    <w:rsid w:val="00C51AA9"/>
    <w:rsid w:val="00C72478"/>
    <w:rsid w:val="00C74365"/>
    <w:rsid w:val="00C75E6E"/>
    <w:rsid w:val="00C84036"/>
    <w:rsid w:val="00C8727A"/>
    <w:rsid w:val="00C95ACD"/>
    <w:rsid w:val="00CC23A6"/>
    <w:rsid w:val="00CD3CE0"/>
    <w:rsid w:val="00CE3E27"/>
    <w:rsid w:val="00CF3A18"/>
    <w:rsid w:val="00D01155"/>
    <w:rsid w:val="00D1137C"/>
    <w:rsid w:val="00D1557B"/>
    <w:rsid w:val="00D23527"/>
    <w:rsid w:val="00D478FF"/>
    <w:rsid w:val="00D523BB"/>
    <w:rsid w:val="00D6296A"/>
    <w:rsid w:val="00D67A4C"/>
    <w:rsid w:val="00D74A83"/>
    <w:rsid w:val="00D90BC8"/>
    <w:rsid w:val="00DA1CF9"/>
    <w:rsid w:val="00DD101F"/>
    <w:rsid w:val="00DE0FE4"/>
    <w:rsid w:val="00DE2915"/>
    <w:rsid w:val="00E1428A"/>
    <w:rsid w:val="00E14F1D"/>
    <w:rsid w:val="00E224DF"/>
    <w:rsid w:val="00E52B80"/>
    <w:rsid w:val="00E65A91"/>
    <w:rsid w:val="00E671E9"/>
    <w:rsid w:val="00E77D30"/>
    <w:rsid w:val="00E80737"/>
    <w:rsid w:val="00E8155E"/>
    <w:rsid w:val="00E9407D"/>
    <w:rsid w:val="00EB2EB4"/>
    <w:rsid w:val="00EC0FDE"/>
    <w:rsid w:val="00EC281A"/>
    <w:rsid w:val="00EC3524"/>
    <w:rsid w:val="00EC6FAD"/>
    <w:rsid w:val="00ED4DB8"/>
    <w:rsid w:val="00ED5253"/>
    <w:rsid w:val="00EF4DE8"/>
    <w:rsid w:val="00F07FAF"/>
    <w:rsid w:val="00F16AB5"/>
    <w:rsid w:val="00F232C7"/>
    <w:rsid w:val="00F23357"/>
    <w:rsid w:val="00F31759"/>
    <w:rsid w:val="00F319B9"/>
    <w:rsid w:val="00F45589"/>
    <w:rsid w:val="00F65C60"/>
    <w:rsid w:val="00F705F6"/>
    <w:rsid w:val="00F7237B"/>
    <w:rsid w:val="00F80ED0"/>
    <w:rsid w:val="00F84C72"/>
    <w:rsid w:val="00FB1FEB"/>
    <w:rsid w:val="00FE2D89"/>
    <w:rsid w:val="00FE40AA"/>
    <w:rsid w:val="00FE639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2EBFA-9DE5-4742-88B5-A7C5267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A8063E95CF3CF9399DCC7E100FB8081094C58C511E75B95926EC2F0E5F5E7CBD420AC58CB1FA88D83DBC89F944A5D1D99F919349A1C231B6C27AS0p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A8063E95CF3CF9399DCC7E100FB8081094C58C511E75B95926EC2F0E5F5E7CBD420AC58CB1FA88D83DB98EF944A5D1D99F919349A1C231B6C27AS0p3J" TargetMode="External"/><Relationship Id="rId17" Type="http://schemas.openxmlformats.org/officeDocument/2006/relationships/hyperlink" Target="consultantplus://offline/ref=7A667E14A14B4FEDD6AEFCE4A7DCB2AD16F625FE4ABCCA0AAFE7C41E80693D74AEFA4A4D95F511EE76E32DAAFA3A0A1D4EF550F4772A5974CBC5BDgCH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667E14A14B4FEDD6AEFCE4A7DCB2AD16F625FE4ABCCA0AAFE7C41E80693D74AEFA4A4D95F511EE76E32DAAFA3A0A1D4EF550F4772A5974CBC5BDgCH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F9AD5E73DA793DAEFD67E35C836D1355517568A959FA3DD2D6314CA361E7896C2A7A3A51797F322F97DAE6FA3B5188083AC58A088579F555F4F36C6Dn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CC7E100FB8081094C58C571874B95E2BB1250606527EBA4D55D28BF8F689D83DB88EF31BA0C4C8C79D9B5EBFC02DAAC07B0BS1p2J" TargetMode="External"/><Relationship Id="rId10" Type="http://schemas.openxmlformats.org/officeDocument/2006/relationships/hyperlink" Target="consultantplus://offline/ref=84A89A89923C1A255D35BAA6D3BB4F6A8D275492895A8246163383AFD52853DC35DFA78997D7CB57E0AB1611F24FCEDA5DE789A5F9F4AFDB39832DA55Aj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3186C48128B9A126B8318499BED7F034348BF0BE8CA3CA1C8CAED2A546354932BCAA779E0DCB2D9F8F8D3D43FD55B9CF3AA4BD50F2BA8A1B746ECL8J" TargetMode="External"/><Relationship Id="rId14" Type="http://schemas.openxmlformats.org/officeDocument/2006/relationships/hyperlink" Target="consultantplus://offline/ref=85A8063E95CF3CF9399DCC7E100FB8081094C58C571874B95E2BB1250606527EBA4D55D28BF8F689D83DB88CF71BA0C4C8C79D9B5EBFC02DAAC07B0BS1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E897-E0B5-42D3-A3E3-B6A279F4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1631</Words>
  <Characters>14230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cp:lastModifiedBy>Водянникова Лариса Сергеевна</cp:lastModifiedBy>
  <cp:revision>7</cp:revision>
  <cp:lastPrinted>2019-02-19T10:32:00Z</cp:lastPrinted>
  <dcterms:created xsi:type="dcterms:W3CDTF">2019-02-19T09:44:00Z</dcterms:created>
  <dcterms:modified xsi:type="dcterms:W3CDTF">2019-02-19T10:32:00Z</dcterms:modified>
</cp:coreProperties>
</file>